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84"/>
          <w:szCs w:val="84"/>
          <w:highlight w:val="none"/>
          <w:u w:val="none"/>
          <w14:textFill>
            <w14:solidFill>
              <w14:schemeClr w14:val="tx1"/>
            </w14:solidFill>
          </w14:textFill>
        </w:rPr>
      </w:pPr>
    </w:p>
    <w:p>
      <w:pPr>
        <w:rPr>
          <w:color w:val="000000" w:themeColor="text1"/>
          <w:sz w:val="84"/>
          <w:szCs w:val="84"/>
          <w:highlight w:val="none"/>
          <w:u w:val="none"/>
          <w14:textFill>
            <w14:solidFill>
              <w14:schemeClr w14:val="tx1"/>
            </w14:solidFill>
          </w14:textFill>
        </w:rPr>
      </w:pPr>
    </w:p>
    <w:p>
      <w:pPr>
        <w:rPr>
          <w:color w:val="000000" w:themeColor="text1"/>
          <w:sz w:val="84"/>
          <w:szCs w:val="84"/>
          <w:highlight w:val="none"/>
          <w:u w:val="none"/>
          <w14:textFill>
            <w14:solidFill>
              <w14:schemeClr w14:val="tx1"/>
            </w14:solidFill>
          </w14:textFill>
        </w:rPr>
      </w:pPr>
    </w:p>
    <w:p>
      <w:pPr>
        <w:rPr>
          <w:color w:val="000000" w:themeColor="text1"/>
          <w:sz w:val="84"/>
          <w:szCs w:val="84"/>
          <w:highlight w:val="none"/>
          <w:u w:val="none"/>
          <w14:textFill>
            <w14:solidFill>
              <w14:schemeClr w14:val="tx1"/>
            </w14:solidFill>
          </w14:textFill>
        </w:rPr>
      </w:pPr>
    </w:p>
    <w:p>
      <w:pPr>
        <w:jc w:val="center"/>
        <w:rPr>
          <w:color w:val="000000" w:themeColor="text1"/>
          <w:sz w:val="52"/>
          <w:szCs w:val="52"/>
          <w:highlight w:val="none"/>
          <w:u w:val="none"/>
          <w14:textFill>
            <w14:solidFill>
              <w14:schemeClr w14:val="tx1"/>
            </w14:solidFill>
          </w14:textFill>
        </w:rPr>
      </w:pPr>
      <w:r>
        <w:rPr>
          <w:rFonts w:hint="default" w:ascii="Times New Roman" w:hAnsi="Times New Roman" w:cs="Times New Roman" w:eastAsiaTheme="majorEastAsia"/>
          <w:color w:val="000000" w:themeColor="text1"/>
          <w:sz w:val="52"/>
          <w:szCs w:val="52"/>
          <w:highlight w:val="none"/>
          <w:u w:val="none"/>
          <w:lang w:val="en"/>
          <w14:textFill>
            <w14:solidFill>
              <w14:schemeClr w14:val="tx1"/>
            </w14:solidFill>
          </w14:textFill>
        </w:rPr>
        <w:t>2024</w:t>
      </w:r>
      <w:r>
        <w:rPr>
          <w:rFonts w:hint="eastAsia"/>
          <w:color w:val="000000" w:themeColor="text1"/>
          <w:sz w:val="52"/>
          <w:szCs w:val="52"/>
          <w:highlight w:val="none"/>
          <w:u w:val="none"/>
          <w14:textFill>
            <w14:solidFill>
              <w14:schemeClr w14:val="tx1"/>
            </w14:solidFill>
          </w14:textFill>
        </w:rPr>
        <w:t>年</w:t>
      </w:r>
      <w:r>
        <w:rPr>
          <w:rFonts w:hint="eastAsia"/>
          <w:color w:val="000000" w:themeColor="text1"/>
          <w:sz w:val="52"/>
          <w:szCs w:val="52"/>
          <w:highlight w:val="none"/>
          <w:u w:val="none"/>
          <w:lang w:eastAsia="zh-CN"/>
          <w14:textFill>
            <w14:solidFill>
              <w14:schemeClr w14:val="tx1"/>
            </w14:solidFill>
          </w14:textFill>
        </w:rPr>
        <w:t>海南省水务厅</w:t>
      </w:r>
      <w:r>
        <w:rPr>
          <w:rFonts w:hint="eastAsia"/>
          <w:color w:val="000000" w:themeColor="text1"/>
          <w:sz w:val="52"/>
          <w:szCs w:val="52"/>
          <w:highlight w:val="none"/>
          <w:u w:val="none"/>
          <w14:textFill>
            <w14:solidFill>
              <w14:schemeClr w14:val="tx1"/>
            </w14:solidFill>
          </w14:textFill>
        </w:rPr>
        <w:t>部门预算</w:t>
      </w:r>
    </w:p>
    <w:p>
      <w:pPr>
        <w:ind w:firstLine="1680"/>
        <w:jc w:val="center"/>
        <w:rPr>
          <w:color w:val="000000" w:themeColor="text1"/>
          <w:sz w:val="84"/>
          <w:szCs w:val="84"/>
          <w:highlight w:val="none"/>
          <w:u w:val="none"/>
          <w14:textFill>
            <w14:solidFill>
              <w14:schemeClr w14:val="tx1"/>
            </w14:solidFill>
          </w14:textFill>
        </w:rPr>
      </w:pPr>
    </w:p>
    <w:p>
      <w:pPr>
        <w:ind w:firstLine="1680"/>
        <w:jc w:val="center"/>
        <w:rPr>
          <w:color w:val="000000" w:themeColor="text1"/>
          <w:sz w:val="84"/>
          <w:szCs w:val="84"/>
          <w:highlight w:val="none"/>
          <w:u w:val="none"/>
          <w14:textFill>
            <w14:solidFill>
              <w14:schemeClr w14:val="tx1"/>
            </w14:solidFill>
          </w14:textFill>
        </w:rPr>
      </w:pPr>
    </w:p>
    <w:p>
      <w:pPr>
        <w:ind w:firstLine="1680"/>
        <w:jc w:val="center"/>
        <w:rPr>
          <w:color w:val="000000" w:themeColor="text1"/>
          <w:sz w:val="84"/>
          <w:szCs w:val="84"/>
          <w:highlight w:val="none"/>
          <w:u w:val="none"/>
          <w14:textFill>
            <w14:solidFill>
              <w14:schemeClr w14:val="tx1"/>
            </w14:solidFill>
          </w14:textFill>
        </w:rPr>
      </w:pPr>
    </w:p>
    <w:p>
      <w:pPr>
        <w:ind w:firstLine="1680"/>
        <w:jc w:val="center"/>
        <w:rPr>
          <w:color w:val="000000" w:themeColor="text1"/>
          <w:sz w:val="84"/>
          <w:szCs w:val="84"/>
          <w:highlight w:val="none"/>
          <w:u w:val="none"/>
          <w14:textFill>
            <w14:solidFill>
              <w14:schemeClr w14:val="tx1"/>
            </w14:solidFill>
          </w14:textFill>
        </w:rPr>
      </w:pPr>
    </w:p>
    <w:p>
      <w:pPr>
        <w:rPr>
          <w:color w:val="000000" w:themeColor="text1"/>
          <w:sz w:val="84"/>
          <w:szCs w:val="84"/>
          <w:highlight w:val="none"/>
          <w:u w:val="none"/>
          <w14:textFill>
            <w14:solidFill>
              <w14:schemeClr w14:val="tx1"/>
            </w14:solidFill>
          </w14:textFill>
        </w:rPr>
      </w:pPr>
    </w:p>
    <w:p>
      <w:pPr>
        <w:jc w:val="center"/>
        <w:rPr>
          <w:rFonts w:hint="eastAsia" w:ascii="黑体" w:hAnsi="黑体" w:eastAsia="黑体"/>
          <w:color w:val="000000" w:themeColor="text1"/>
          <w:sz w:val="52"/>
          <w:szCs w:val="52"/>
          <w:highlight w:val="none"/>
          <w:u w:val="none"/>
          <w14:textFill>
            <w14:solidFill>
              <w14:schemeClr w14:val="tx1"/>
            </w14:solidFill>
          </w14:textFill>
        </w:rPr>
      </w:pPr>
    </w:p>
    <w:p>
      <w:pPr>
        <w:jc w:val="center"/>
        <w:rPr>
          <w:rFonts w:hint="eastAsia" w:ascii="黑体" w:hAnsi="黑体" w:eastAsia="黑体"/>
          <w:color w:val="000000" w:themeColor="text1"/>
          <w:sz w:val="52"/>
          <w:szCs w:val="52"/>
          <w:highlight w:val="none"/>
          <w:u w:val="none"/>
          <w14:textFill>
            <w14:solidFill>
              <w14:schemeClr w14:val="tx1"/>
            </w14:solidFill>
          </w14:textFill>
        </w:rPr>
      </w:pPr>
    </w:p>
    <w:p>
      <w:pPr>
        <w:jc w:val="center"/>
        <w:rPr>
          <w:rFonts w:ascii="黑体" w:hAnsi="黑体" w:eastAsia="黑体"/>
          <w:color w:val="000000" w:themeColor="text1"/>
          <w:sz w:val="52"/>
          <w:szCs w:val="52"/>
          <w:highlight w:val="none"/>
          <w:u w:val="none"/>
          <w14:textFill>
            <w14:solidFill>
              <w14:schemeClr w14:val="tx1"/>
            </w14:solidFill>
          </w14:textFill>
        </w:rPr>
      </w:pPr>
      <w:r>
        <w:rPr>
          <w:rFonts w:hint="eastAsia" w:ascii="黑体" w:hAnsi="黑体" w:eastAsia="黑体"/>
          <w:color w:val="000000" w:themeColor="text1"/>
          <w:sz w:val="52"/>
          <w:szCs w:val="52"/>
          <w:highlight w:val="none"/>
          <w:u w:val="none"/>
          <w14:textFill>
            <w14:solidFill>
              <w14:schemeClr w14:val="tx1"/>
            </w14:solidFill>
          </w14:textFill>
        </w:rPr>
        <w:t>目录</w:t>
      </w:r>
    </w:p>
    <w:p>
      <w:pPr>
        <w:pStyle w:val="6"/>
        <w:numPr>
          <w:ilvl w:val="0"/>
          <w:numId w:val="1"/>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eastAsia" w:ascii="黑体" w:hAnsi="黑体" w:eastAsia="黑体"/>
          <w:color w:val="000000" w:themeColor="text1"/>
          <w:sz w:val="32"/>
          <w:szCs w:val="32"/>
          <w:highlight w:val="none"/>
          <w:u w:val="none"/>
          <w14:textFill>
            <w14:solidFill>
              <w14:schemeClr w14:val="tx1"/>
            </w14:solidFill>
          </w14:textFill>
        </w:rPr>
        <w:t>概况</w:t>
      </w:r>
    </w:p>
    <w:p>
      <w:pPr>
        <w:pStyle w:val="6"/>
        <w:numPr>
          <w:ilvl w:val="0"/>
          <w:numId w:val="2"/>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主要职能</w:t>
      </w:r>
    </w:p>
    <w:p>
      <w:pPr>
        <w:pStyle w:val="6"/>
        <w:numPr>
          <w:ilvl w:val="0"/>
          <w:numId w:val="2"/>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部门预算单位构成（单位公开没有这部分内容）</w:t>
      </w:r>
    </w:p>
    <w:p>
      <w:pPr>
        <w:pStyle w:val="6"/>
        <w:numPr>
          <w:ilvl w:val="0"/>
          <w:numId w:val="1"/>
        </w:numPr>
        <w:ind w:firstLineChars="0"/>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年部门预算表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财政拨款收支总表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一般公共预算支出表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一般公共预算基本支出表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一般公共预算“三公”经费支出表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政府性基金预算支出表。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政府性基金预算“三公”经费支出表</w:t>
      </w:r>
    </w:p>
    <w:p>
      <w:pPr>
        <w:pStyle w:val="6"/>
        <w:numPr>
          <w:ilvl w:val="0"/>
          <w:numId w:val="3"/>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收支总表</w:t>
      </w:r>
    </w:p>
    <w:p>
      <w:pPr>
        <w:pStyle w:val="6"/>
        <w:numPr>
          <w:ilvl w:val="0"/>
          <w:numId w:val="3"/>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收入总表</w:t>
      </w:r>
    </w:p>
    <w:p>
      <w:pPr>
        <w:pStyle w:val="6"/>
        <w:numPr>
          <w:ilvl w:val="0"/>
          <w:numId w:val="3"/>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支出总表</w:t>
      </w:r>
    </w:p>
    <w:p>
      <w:pPr>
        <w:pStyle w:val="6"/>
        <w:numPr>
          <w:ilvl w:val="0"/>
          <w:numId w:val="3"/>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项目支出绩效信息表</w:t>
      </w:r>
    </w:p>
    <w:p>
      <w:pPr>
        <w:pStyle w:val="6"/>
        <w:numPr>
          <w:ilvl w:val="0"/>
          <w:numId w:val="1"/>
        </w:numPr>
        <w:ind w:firstLineChars="0"/>
        <w:jc w:val="left"/>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年部门预算情况说明</w:t>
      </w:r>
    </w:p>
    <w:p>
      <w:pPr>
        <w:pStyle w:val="6"/>
        <w:numPr>
          <w:ilvl w:val="0"/>
          <w:numId w:val="1"/>
        </w:numPr>
        <w:ind w:firstLineChars="0"/>
        <w:jc w:val="left"/>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名词解释</w:t>
      </w:r>
    </w:p>
    <w:p>
      <w:pPr>
        <w:pStyle w:val="6"/>
        <w:ind w:left="1320" w:firstLine="0" w:firstLineChars="0"/>
        <w:jc w:val="left"/>
        <w:rPr>
          <w:rFonts w:ascii="黑体" w:hAnsi="黑体" w:eastAsia="黑体"/>
          <w:color w:val="000000" w:themeColor="text1"/>
          <w:sz w:val="32"/>
          <w:szCs w:val="32"/>
          <w:highlight w:val="none"/>
          <w:u w:val="none"/>
          <w14:textFill>
            <w14:solidFill>
              <w14:schemeClr w14:val="tx1"/>
            </w14:solidFill>
          </w14:textFill>
        </w:rPr>
      </w:pPr>
    </w:p>
    <w:p>
      <w:pPr>
        <w:jc w:val="left"/>
        <w:rPr>
          <w:rFonts w:ascii="黑体" w:hAnsi="黑体" w:eastAsia="黑体"/>
          <w:color w:val="000000" w:themeColor="text1"/>
          <w:sz w:val="32"/>
          <w:szCs w:val="32"/>
          <w:highlight w:val="none"/>
          <w:u w:val="none"/>
          <w14:textFill>
            <w14:solidFill>
              <w14:schemeClr w14:val="tx1"/>
            </w14:solidFill>
          </w14:textFill>
        </w:rPr>
      </w:pPr>
    </w:p>
    <w:p>
      <w:pPr>
        <w:jc w:val="left"/>
        <w:rPr>
          <w:rFonts w:ascii="黑体" w:hAnsi="黑体" w:eastAsia="黑体"/>
          <w:color w:val="000000" w:themeColor="text1"/>
          <w:sz w:val="32"/>
          <w:szCs w:val="32"/>
          <w:highlight w:val="none"/>
          <w:u w:val="none"/>
          <w14:textFill>
            <w14:solidFill>
              <w14:schemeClr w14:val="tx1"/>
            </w14:solidFill>
          </w14:textFill>
        </w:rPr>
      </w:pPr>
    </w:p>
    <w:p>
      <w:pPr>
        <w:jc w:val="left"/>
        <w:rPr>
          <w:rFonts w:ascii="黑体" w:hAnsi="黑体" w:eastAsia="黑体"/>
          <w:color w:val="000000" w:themeColor="text1"/>
          <w:sz w:val="32"/>
          <w:szCs w:val="32"/>
          <w:highlight w:val="none"/>
          <w:u w:val="none"/>
          <w14:textFill>
            <w14:solidFill>
              <w14:schemeClr w14:val="tx1"/>
            </w14:solidFill>
          </w14:textFill>
        </w:rPr>
      </w:pPr>
    </w:p>
    <w:p>
      <w:pPr>
        <w:jc w:val="left"/>
        <w:rPr>
          <w:rFonts w:ascii="黑体" w:hAnsi="黑体" w:eastAsia="黑体"/>
          <w:color w:val="000000" w:themeColor="text1"/>
          <w:sz w:val="32"/>
          <w:szCs w:val="32"/>
          <w:highlight w:val="none"/>
          <w:u w:val="none"/>
          <w14:textFill>
            <w14:solidFill>
              <w14:schemeClr w14:val="tx1"/>
            </w14:solidFill>
          </w14:textFill>
        </w:rPr>
      </w:pPr>
    </w:p>
    <w:p>
      <w:pPr>
        <w:pStyle w:val="6"/>
        <w:numPr>
          <w:ilvl w:val="0"/>
          <w:numId w:val="4"/>
        </w:numPr>
        <w:ind w:firstLineChars="0"/>
        <w:jc w:val="center"/>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eastAsia" w:ascii="黑体" w:hAnsi="黑体" w:eastAsia="黑体"/>
          <w:color w:val="000000" w:themeColor="text1"/>
          <w:sz w:val="32"/>
          <w:szCs w:val="32"/>
          <w:highlight w:val="none"/>
          <w:u w:val="none"/>
          <w14:textFill>
            <w14:solidFill>
              <w14:schemeClr w14:val="tx1"/>
            </w14:solidFill>
          </w14:textFill>
        </w:rPr>
        <w:t>概况</w:t>
      </w:r>
    </w:p>
    <w:p>
      <w:pPr>
        <w:jc w:val="left"/>
        <w:rPr>
          <w:rFonts w:ascii="仿宋_GB2312" w:hAnsi="仿宋_GB2312" w:eastAsia="仿宋_GB2312" w:cs="仿宋_GB2312"/>
          <w:color w:val="000000" w:themeColor="text1"/>
          <w:sz w:val="32"/>
          <w:szCs w:val="32"/>
          <w:highlight w:val="none"/>
          <w:u w:val="none"/>
          <w14:textFill>
            <w14:solidFill>
              <w14:schemeClr w14:val="tx1"/>
            </w14:solidFill>
          </w14:textFill>
        </w:rPr>
      </w:pPr>
    </w:p>
    <w:p>
      <w:pPr>
        <w:pStyle w:val="6"/>
        <w:numPr>
          <w:ilvl w:val="0"/>
          <w:numId w:val="5"/>
        </w:numPr>
        <w:ind w:firstLineChars="0"/>
        <w:jc w:val="left"/>
        <w:rPr>
          <w:rFonts w:ascii="黑体" w:hAnsi="黑体" w:eastAsia="黑体" w:cs="仿宋_GB2312"/>
          <w:color w:val="000000" w:themeColor="text1"/>
          <w:sz w:val="32"/>
          <w:szCs w:val="32"/>
          <w:highlight w:val="none"/>
          <w:u w:val="none"/>
          <w14:textFill>
            <w14:solidFill>
              <w14:schemeClr w14:val="tx1"/>
            </w14:solidFill>
          </w14:textFill>
        </w:rPr>
      </w:pPr>
      <w:r>
        <w:rPr>
          <w:rFonts w:hint="eastAsia" w:ascii="黑体" w:hAnsi="黑体" w:eastAsia="黑体" w:cs="仿宋_GB2312"/>
          <w:color w:val="000000" w:themeColor="text1"/>
          <w:sz w:val="32"/>
          <w:szCs w:val="32"/>
          <w:highlight w:val="none"/>
          <w:u w:val="none"/>
          <w14:textFill>
            <w14:solidFill>
              <w14:schemeClr w14:val="tx1"/>
            </w14:solidFill>
          </w14:textFill>
        </w:rPr>
        <w:t>主要职能</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海南省水务厅（简称省水务厅）是主管全省水务工作的省政府组成部门，为正厅级。省水务厅贯彻执行党中央关于水务工作的方针政策，以及中国（海南）自由贸易试验区和中国特色自由贸易港政策措施，落实省委决策部署，在履行职责过程中坚持和加强党对水务工作的集中统一领导。主要职责是：</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负责保障水资源的合理开发利用。拟订全省水务工作发展战略和政策措施，起草有关法规规章草案，组织编制水务发展规划、重要江河湖泊流域综合规划、防洪规划等重大水务规划。</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生活、生产经营和生态环境用水的统筹和保障。组织实施最严格的水资源管理制度，实施水资源的统一监督管理，拟订全省水中长期供求规划、重要江河水量分配方案并监督实施。负责重要流域及重大调水工程的水资源调度。组织编制省级水资源保护相关规划。组织实施取水许可、水资源论证和防洪论证等制度，指导开展水资源有偿使用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推进海岛型水利基础设施网络建设。提出水务固定资产投资规模和方向、国家和省级财政性水务资金安排建议并组织指导实施。</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水文工作。负责全省水文水资源监测、水文站网建设和管理。对江河湖库和地下水实施监测，发布水文水资源信息、情报预报和水资源公报。按规定组织开展水资源、水能资源调查评价和水资源承载能力监测预警工作。</w:t>
      </w:r>
    </w:p>
    <w:p>
      <w:pPr>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指导监督水务工程建设与运行管理。组织实施具有控制性和跨市县跨流域的重要水利工程建设与运行管理。按权限组织审查、审批水务建设项目可行性研究报告和初步设计。</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6</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水务设施、水域及其岸线的管理、保护与综合利用。牵头负责全面实施河长制、湖长制工作，指导、监督重要江河湖库的治理、开发和保护；指导河湖水生态保护与修复、河湖生态流量水量管理以及河湖水系连通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农村水利工作。组织开展大中型灌排工程建设与改造；组织实施农村饮水安全工程建设与管理，指导节水灌溉有关工作；指导农村水利改革创新和社会化服务体系建设；指导农村水能资源开发、小水电改造和水电农村电气化工作。</w:t>
      </w:r>
    </w:p>
    <w:p>
      <w:pPr>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8</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负责节约用水工作。拟订节约用水政策，组织编制省级节约用水规划，组织实施用水总量控制等管理制度，指导和推动节水型社会建设工作。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9</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指导城乡水务工作。指导全省城乡供水节水、排水防涝、污水处理及再生水利用等工程的建设与管理工作。参与城乡供水价格核定工作。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10</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负责水土保持工作。拟订全省水土保持规划并监督实施，组织实施水土流失的综合防治、监测预报并定期公告；负责生产建设项目水土保持监督管理工作，指导国家重点水土保持建设项目的实施。</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依法负责水务行业安全生产工作，组织指导水库、水电站大坝、农村水电站、城乡供排水行业的安全监管。指导水务建设市场的监督管理，组织实施水务工程建设的监督。协调跨市县水事纠纷，指导水政监察和水行政执法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开展水务科技与对外合作工作。组织开展水务行业质量监督工作，拟订本省水务行业技术标准、规程规范并监督实施；组织、参与有关水务工作的对外交流工作。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指导水利工程移民管理工作。</w:t>
      </w:r>
    </w:p>
    <w:p>
      <w:pPr>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完成省委、省政府和上级部门交办的其他任务。</w:t>
      </w:r>
    </w:p>
    <w:p>
      <w:pPr>
        <w:pStyle w:val="6"/>
        <w:numPr>
          <w:ilvl w:val="0"/>
          <w:numId w:val="5"/>
        </w:numPr>
        <w:ind w:firstLineChars="0"/>
        <w:jc w:val="left"/>
        <w:rPr>
          <w:rFonts w:ascii="黑体" w:hAnsi="黑体" w:eastAsia="黑体" w:cs="仿宋_GB2312"/>
          <w:color w:val="000000" w:themeColor="text1"/>
          <w:sz w:val="32"/>
          <w:szCs w:val="32"/>
          <w:highlight w:val="none"/>
          <w:u w:val="none"/>
          <w14:textFill>
            <w14:solidFill>
              <w14:schemeClr w14:val="tx1"/>
            </w14:solidFill>
          </w14:textFill>
        </w:rPr>
      </w:pPr>
      <w:r>
        <w:rPr>
          <w:rFonts w:hint="eastAsia" w:ascii="黑体" w:hAnsi="黑体" w:eastAsia="黑体" w:cs="仿宋_GB2312"/>
          <w:color w:val="000000" w:themeColor="text1"/>
          <w:sz w:val="32"/>
          <w:szCs w:val="32"/>
          <w:highlight w:val="none"/>
          <w:u w:val="none"/>
          <w14:textFill>
            <w14:solidFill>
              <w14:schemeClr w14:val="tx1"/>
            </w14:solidFill>
          </w14:textFill>
        </w:rPr>
        <w:t>部门预算单位构成</w:t>
      </w:r>
    </w:p>
    <w:p>
      <w:pPr>
        <w:ind w:firstLine="800" w:firstLineChars="25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纳入</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024</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年部门预算编制范围的二级</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和三级</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预算单位包括：</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海南省水务厅本级</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海南省水务建设质量监督定额局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海南省水文水资源勘测局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海南省水利灌区管理局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海南省水利灌区管理局松涛</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灌区管理</w:t>
      </w:r>
      <w:r>
        <w:rPr>
          <w:rFonts w:ascii="Times New Roman" w:hAnsi="Times New Roman" w:eastAsia="仿宋_GB2312" w:cs="Times New Roman"/>
          <w:color w:val="000000" w:themeColor="text1"/>
          <w:sz w:val="32"/>
          <w:szCs w:val="32"/>
          <w:highlight w:val="none"/>
          <w14:textFill>
            <w14:solidFill>
              <w14:schemeClr w14:val="tx1"/>
            </w14:solidFill>
          </w14:textFill>
        </w:rPr>
        <w:t>分局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6</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海南省水利灌区管理局大广坝</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灌区灌</w:t>
      </w:r>
      <w:r>
        <w:rPr>
          <w:rFonts w:ascii="Times New Roman" w:hAnsi="Times New Roman" w:eastAsia="仿宋_GB2312" w:cs="Times New Roman"/>
          <w:color w:val="000000" w:themeColor="text1"/>
          <w:sz w:val="32"/>
          <w:szCs w:val="32"/>
          <w:highlight w:val="none"/>
          <w14:textFill>
            <w14:solidFill>
              <w14:schemeClr w14:val="tx1"/>
            </w14:solidFill>
          </w14:textFill>
        </w:rPr>
        <w:t>分局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海南省红岭灌区管理中心</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p>
    <w:p>
      <w:pPr>
        <w:ind w:firstLine="640" w:firstLineChars="200"/>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第二部分 </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年部门预算表</w:t>
      </w:r>
    </w:p>
    <w:p>
      <w:pPr>
        <w:ind w:left="800"/>
        <w:jc w:val="left"/>
        <w:rPr>
          <w:rFonts w:ascii="黑体" w:hAnsi="黑体" w:eastAsia="黑体"/>
          <w:color w:val="000000" w:themeColor="text1"/>
          <w:sz w:val="32"/>
          <w:szCs w:val="32"/>
          <w:highlight w:val="none"/>
          <w:u w:val="none"/>
          <w14:textFill>
            <w14:solidFill>
              <w14:schemeClr w14:val="tx1"/>
            </w14:solidFill>
          </w14:textFill>
        </w:rPr>
      </w:pPr>
    </w:p>
    <w:p>
      <w:pPr>
        <w:ind w:left="800"/>
        <w:jc w:val="center"/>
        <w:rPr>
          <w:rFonts w:ascii="仿宋_GB2312" w:hAnsi="黑体" w:eastAsia="仿宋_GB2312"/>
          <w:b/>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（此部分内容即为部门或单位预算公开表）</w:t>
      </w:r>
    </w:p>
    <w:p>
      <w:pPr>
        <w:rPr>
          <w:rFonts w:ascii="黑体" w:hAnsi="黑体" w:eastAsia="黑体"/>
          <w:color w:val="000000" w:themeColor="text1"/>
          <w:sz w:val="32"/>
          <w:szCs w:val="32"/>
          <w:highlight w:val="none"/>
          <w:u w:val="none"/>
          <w14:textFill>
            <w14:solidFill>
              <w14:schemeClr w14:val="tx1"/>
            </w14:solidFill>
          </w14:textFill>
        </w:rPr>
      </w:pPr>
    </w:p>
    <w:p>
      <w:pPr>
        <w:ind w:firstLine="480" w:firstLineChars="150"/>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第三部分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年部门预算情况说明</w:t>
      </w:r>
    </w:p>
    <w:p>
      <w:pPr>
        <w:jc w:val="center"/>
        <w:rPr>
          <w:rFonts w:ascii="黑体" w:hAnsi="黑体" w:eastAsia="黑体"/>
          <w:color w:val="000000" w:themeColor="text1"/>
          <w:sz w:val="32"/>
          <w:szCs w:val="32"/>
          <w:highlight w:val="none"/>
          <w:u w:val="none"/>
          <w14:textFill>
            <w14:solidFill>
              <w14:schemeClr w14:val="tx1"/>
            </w14:solidFill>
          </w14:textFill>
        </w:rPr>
      </w:pPr>
    </w:p>
    <w:p>
      <w:pPr>
        <w:ind w:firstLine="640" w:firstLineChars="20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一、关于</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年财政拨款收支预算情况的总体说明</w:t>
      </w:r>
    </w:p>
    <w:p>
      <w:pPr>
        <w:ind w:firstLine="640" w:firstLineChars="200"/>
        <w:jc w:val="left"/>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年财政拨款收支总预算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259580.09</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比上年预算数</w:t>
      </w:r>
      <w:r>
        <w:rPr>
          <w:rFonts w:hint="default" w:ascii="仿宋_GB2312" w:hAnsi="黑体" w:eastAsia="仿宋_GB2312"/>
          <w:color w:val="000000" w:themeColor="text1"/>
          <w:sz w:val="32"/>
          <w:szCs w:val="32"/>
          <w:highlight w:val="none"/>
          <w:u w:val="none"/>
          <w:lang w:val="e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156825.46</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万元</w:t>
      </w:r>
      <w:r>
        <w:rPr>
          <w:rFonts w:hint="default" w:ascii="仿宋_GB2312" w:hAnsi="黑体" w:eastAsia="仿宋_GB2312"/>
          <w:color w:val="000000" w:themeColor="text1"/>
          <w:sz w:val="32"/>
          <w:szCs w:val="32"/>
          <w:highlight w:val="none"/>
          <w:u w:val="none"/>
          <w:lang w:val="en"/>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102754.63</w:t>
      </w:r>
      <w:r>
        <w:rPr>
          <w:rFonts w:hint="eastAsia" w:ascii="仿宋_GB2312" w:hAnsi="黑体" w:eastAsia="仿宋_GB2312"/>
          <w:color w:val="000000" w:themeColor="text1"/>
          <w:sz w:val="32"/>
          <w:szCs w:val="32"/>
          <w:highlight w:val="none"/>
          <w:u w:val="none"/>
          <w14:textFill>
            <w14:solidFill>
              <w14:schemeClr w14:val="tx1"/>
            </w14:solidFill>
          </w14:textFill>
        </w:rPr>
        <w:t>万元，主要是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项目预算</w:t>
      </w:r>
      <w:r>
        <w:rPr>
          <w:rFonts w:hint="eastAsia" w:ascii="仿宋_GB2312" w:hAnsi="黑体" w:eastAsia="仿宋_GB2312"/>
          <w:color w:val="000000" w:themeColor="text1"/>
          <w:sz w:val="32"/>
          <w:szCs w:val="32"/>
          <w:highlight w:val="none"/>
          <w:u w:val="none"/>
          <w14:textFill>
            <w14:solidFill>
              <w14:schemeClr w14:val="tx1"/>
            </w14:solidFill>
          </w14:textFill>
        </w:rPr>
        <w:t>。其中，收入总计</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259580.09</w:t>
      </w:r>
      <w:r>
        <w:rPr>
          <w:rFonts w:hint="eastAsia" w:ascii="仿宋_GB2312" w:hAnsi="黑体" w:eastAsia="仿宋_GB2312"/>
          <w:color w:val="000000" w:themeColor="text1"/>
          <w:sz w:val="32"/>
          <w:szCs w:val="32"/>
          <w:highlight w:val="none"/>
          <w:u w:val="none"/>
          <w14:textFill>
            <w14:solidFill>
              <w14:schemeClr w14:val="tx1"/>
            </w14:solidFill>
          </w14:textFill>
        </w:rPr>
        <w:t>万元，包括一般公共预算本年收入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160790.85</w:t>
      </w:r>
      <w:r>
        <w:rPr>
          <w:rFonts w:hint="eastAsia" w:ascii="仿宋_GB2312" w:hAnsi="黑体" w:eastAsia="仿宋_GB2312"/>
          <w:color w:val="000000" w:themeColor="text1"/>
          <w:sz w:val="32"/>
          <w:szCs w:val="32"/>
          <w:highlight w:val="none"/>
          <w:u w:val="none"/>
          <w14:textFill>
            <w14:solidFill>
              <w14:schemeClr w14:val="tx1"/>
            </w14:solidFill>
          </w14:textFill>
        </w:rPr>
        <w:t>万元、上年结转</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98744.24</w:t>
      </w:r>
      <w:r>
        <w:rPr>
          <w:rFonts w:hint="eastAsia" w:ascii="仿宋_GB2312" w:hAnsi="黑体" w:eastAsia="仿宋_GB2312"/>
          <w:color w:val="000000" w:themeColor="text1"/>
          <w:sz w:val="32"/>
          <w:szCs w:val="32"/>
          <w:highlight w:val="none"/>
          <w:u w:val="none"/>
          <w14:textFill>
            <w14:solidFill>
              <w14:schemeClr w14:val="tx1"/>
            </w14:solidFill>
          </w14:textFill>
        </w:rPr>
        <w:t>万元，政府性基金预算本年收入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万元、上年结转</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万元；支出总计</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259580.09</w:t>
      </w:r>
      <w:r>
        <w:rPr>
          <w:rFonts w:hint="eastAsia" w:ascii="仿宋_GB2312" w:hAnsi="黑体" w:eastAsia="仿宋_GB2312"/>
          <w:color w:val="000000" w:themeColor="text1"/>
          <w:sz w:val="32"/>
          <w:szCs w:val="32"/>
          <w:highlight w:val="none"/>
          <w:u w:val="none"/>
          <w14:textFill>
            <w14:solidFill>
              <w14:schemeClr w14:val="tx1"/>
            </w14:solidFill>
          </w14:textFill>
        </w:rPr>
        <w:t>万元，包括</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0.49</w:t>
      </w:r>
      <w:r>
        <w:rPr>
          <w:rFonts w:ascii="Times New Roman" w:hAnsi="Times New Roman" w:eastAsia="仿宋_GB2312" w:cs="Times New Roman"/>
          <w:color w:val="000000" w:themeColor="text1"/>
          <w:sz w:val="32"/>
          <w:szCs w:val="32"/>
          <w:highlight w:val="none"/>
          <w14:textFill>
            <w14:solidFill>
              <w14:schemeClr w14:val="tx1"/>
            </w14:solidFill>
          </w14:textFill>
        </w:rPr>
        <w:t>万元、社会保障和就业支出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3105.87</w:t>
      </w:r>
      <w:r>
        <w:rPr>
          <w:rFonts w:ascii="Times New Roman" w:hAnsi="Times New Roman" w:eastAsia="仿宋_GB2312" w:cs="Times New Roman"/>
          <w:color w:val="000000" w:themeColor="text1"/>
          <w:sz w:val="32"/>
          <w:szCs w:val="32"/>
          <w:highlight w:val="none"/>
          <w14:textFill>
            <w14:solidFill>
              <w14:schemeClr w14:val="tx1"/>
            </w14:solidFill>
          </w14:textFill>
        </w:rPr>
        <w:t>万元、卫生健康支出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1405.17</w:t>
      </w:r>
      <w:r>
        <w:rPr>
          <w:rFonts w:ascii="Times New Roman" w:hAnsi="Times New Roman" w:eastAsia="仿宋_GB2312" w:cs="Times New Roman"/>
          <w:color w:val="000000" w:themeColor="text1"/>
          <w:sz w:val="32"/>
          <w:szCs w:val="32"/>
          <w:highlight w:val="none"/>
          <w14:textFill>
            <w14:solidFill>
              <w14:schemeClr w14:val="tx1"/>
            </w14:solidFill>
          </w14:textFill>
        </w:rPr>
        <w:t>万元、农林水支出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254035</w:t>
      </w:r>
      <w:r>
        <w:rPr>
          <w:rFonts w:ascii="Times New Roman" w:hAnsi="Times New Roman" w:eastAsia="仿宋_GB2312" w:cs="Times New Roman"/>
          <w:color w:val="000000" w:themeColor="text1"/>
          <w:sz w:val="32"/>
          <w:szCs w:val="32"/>
          <w:highlight w:val="none"/>
          <w14:textFill>
            <w14:solidFill>
              <w14:schemeClr w14:val="tx1"/>
            </w14:solidFill>
          </w14:textFill>
        </w:rPr>
        <w:t>万元、住房保障支出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1033.56</w:t>
      </w:r>
      <w:r>
        <w:rPr>
          <w:rFonts w:ascii="Times New Roman" w:hAnsi="Times New Roman" w:eastAsia="仿宋_GB2312" w:cs="Times New Roman"/>
          <w:color w:val="000000" w:themeColor="text1"/>
          <w:sz w:val="32"/>
          <w:szCs w:val="32"/>
          <w:highlight w:val="none"/>
          <w14:textFill>
            <w14:solidFill>
              <w14:schemeClr w14:val="tx1"/>
            </w14:solidFill>
          </w14:textFill>
        </w:rPr>
        <w:t>万元，结转下年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二、关于</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年一般公共预算当年拨款情况说明</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（一）一般公共预算当年规模变化情况</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024</w:t>
      </w:r>
      <w:r>
        <w:rPr>
          <w:rFonts w:hint="eastAsia" w:ascii="仿宋_GB2312" w:hAnsi="黑体" w:eastAsia="仿宋_GB2312"/>
          <w:color w:val="000000" w:themeColor="text1"/>
          <w:sz w:val="32"/>
          <w:szCs w:val="32"/>
          <w:highlight w:val="none"/>
          <w:u w:val="none"/>
          <w14:textFill>
            <w14:solidFill>
              <w14:schemeClr w14:val="tx1"/>
            </w14:solidFill>
          </w14:textFill>
        </w:rPr>
        <w:t>年一般公共预算当年拨款</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259535.09</w:t>
      </w:r>
      <w:r>
        <w:rPr>
          <w:rFonts w:hint="eastAsia" w:ascii="仿宋_GB2312" w:hAnsi="黑体" w:eastAsia="仿宋_GB2312"/>
          <w:color w:val="000000" w:themeColor="text1"/>
          <w:sz w:val="32"/>
          <w:szCs w:val="32"/>
          <w:highlight w:val="none"/>
          <w:u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156775.78万元）</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102759.31</w:t>
      </w:r>
      <w:r>
        <w:rPr>
          <w:rFonts w:hint="eastAsia" w:ascii="仿宋_GB2312" w:hAnsi="黑体" w:eastAsia="仿宋_GB2312"/>
          <w:color w:val="000000" w:themeColor="text1"/>
          <w:sz w:val="32"/>
          <w:szCs w:val="32"/>
          <w:highlight w:val="none"/>
          <w:u w:val="none"/>
          <w14:textFill>
            <w14:solidFill>
              <w14:schemeClr w14:val="tx1"/>
            </w14:solidFill>
          </w14:textFill>
        </w:rPr>
        <w:t>万元，主要是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增加牛路岭灌区、病险水库水闸除险加固工程等水利工程建设支出预算</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（二）一般公共预算当年拨款结构情况</w:t>
      </w:r>
    </w:p>
    <w:p>
      <w:pPr>
        <w:ind w:firstLine="800" w:firstLineChars="25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科学技术支出（类）支出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0.49</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0.00019</w:t>
      </w:r>
      <w:r>
        <w:rPr>
          <w:rFonts w:hint="eastAsia" w:ascii="仿宋_GB2312" w:hAnsi="黑体" w:eastAsia="仿宋_GB2312"/>
          <w:color w:val="000000" w:themeColor="text1"/>
          <w:sz w:val="32"/>
          <w:szCs w:val="32"/>
          <w:highlight w:val="none"/>
          <w:u w:val="none"/>
          <w14:textFill>
            <w14:solidFill>
              <w14:schemeClr w14:val="tx1"/>
            </w14:solidFill>
          </w14:textFill>
        </w:rPr>
        <w:t>%；社会保障和就业支出（类）</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3105.87</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1.2</w:t>
      </w:r>
      <w:r>
        <w:rPr>
          <w:rFonts w:hint="eastAsia" w:ascii="仿宋_GB2312" w:hAnsi="黑体" w:eastAsia="仿宋_GB2312"/>
          <w:color w:val="000000" w:themeColor="text1"/>
          <w:sz w:val="32"/>
          <w:szCs w:val="32"/>
          <w:highlight w:val="none"/>
          <w:u w:val="none"/>
          <w14:textFill>
            <w14:solidFill>
              <w14:schemeClr w14:val="tx1"/>
            </w14:solidFill>
          </w14:textFill>
        </w:rPr>
        <w:t>%；卫生健康支出（类）</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1405.17</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0.54</w:t>
      </w:r>
      <w:r>
        <w:rPr>
          <w:rFonts w:hint="eastAsia" w:ascii="仿宋_GB2312" w:hAnsi="黑体" w:eastAsia="仿宋_GB2312"/>
          <w:color w:val="000000" w:themeColor="text1"/>
          <w:sz w:val="32"/>
          <w:szCs w:val="32"/>
          <w:highlight w:val="none"/>
          <w:u w:val="none"/>
          <w14:textFill>
            <w14:solidFill>
              <w14:schemeClr w14:val="tx1"/>
            </w14:solidFill>
          </w14:textFill>
        </w:rPr>
        <w:t>%；农林水支出（类）</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253990</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97.86</w:t>
      </w:r>
      <w:r>
        <w:rPr>
          <w:rFonts w:hint="eastAsia" w:ascii="仿宋_GB2312" w:hAnsi="黑体" w:eastAsia="仿宋_GB2312"/>
          <w:color w:val="000000" w:themeColor="text1"/>
          <w:sz w:val="32"/>
          <w:szCs w:val="32"/>
          <w:highlight w:val="none"/>
          <w:u w:val="none"/>
          <w14:textFill>
            <w14:solidFill>
              <w14:schemeClr w14:val="tx1"/>
            </w14:solidFill>
          </w14:textFill>
        </w:rPr>
        <w:t>%；住房保障支出（类）</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1033.56</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39981</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（三）一般公共预算当年拨款具体使用情况</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科学技术支出（类）科技重大项目（款）重点研发计划（项）202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0.32</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6.1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5.78</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仿宋_GB2312" w:hAnsi="宋体" w:eastAsia="仿宋_GB2312" w:cs="仿宋_GB2312"/>
          <w:color w:val="000000" w:themeColor="text1"/>
          <w:kern w:val="2"/>
          <w:sz w:val="32"/>
          <w:szCs w:val="32"/>
          <w:highlight w:val="none"/>
          <w:lang w:val="en" w:eastAsia="zh-CN" w:bidi="ar"/>
          <w14:textFill>
            <w14:solidFill>
              <w14:schemeClr w14:val="tx1"/>
            </w14:solidFill>
          </w14:textFill>
        </w:rPr>
        <w:t>省水文局减少省重点研发计划预算</w:t>
      </w:r>
      <w:r>
        <w:rPr>
          <w:rFonts w:hint="eastAsia" w:ascii="仿宋_GB2312" w:hAnsi="宋体" w:eastAsia="仿宋_GB2312" w:cs="仿宋_GB2312"/>
          <w:color w:val="000000" w:themeColor="text1"/>
          <w:kern w:val="2"/>
          <w:sz w:val="32"/>
          <w:szCs w:val="32"/>
          <w:highlight w:val="none"/>
          <w:lang w:val="en-US" w:eastAsia="zh-CN" w:bidi="ar"/>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科学技术支出（类）其他科学技术支出（款）其他科学技术支出（项）202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0.17</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1.66</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1.49</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省水文局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2024年减少</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院士创新平台建设运营和绩效奖励经费</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预算</w:t>
      </w:r>
      <w:r>
        <w:rPr>
          <w:rFonts w:hint="eastAsia" w:ascii="仿宋_GB2312" w:hAnsi="宋体" w:eastAsia="仿宋_GB2312" w:cs="仿宋_GB2312"/>
          <w:color w:val="000000" w:themeColor="text1"/>
          <w:kern w:val="2"/>
          <w:sz w:val="32"/>
          <w:szCs w:val="32"/>
          <w:highlight w:val="none"/>
          <w:lang w:val="en-US" w:eastAsia="zh-CN" w:bidi="ar"/>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社会保障和就业支出（类）行政事业单位养老支出（款）机关事业单位基本养老保险缴费支出（项）202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1232.03</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1125.77</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106.26</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ascii="Times New Roman" w:hAnsi="Times New Roman" w:eastAsia="仿宋_GB2312" w:cs="Times New Roman"/>
          <w:color w:val="000000" w:themeColor="text1"/>
          <w:sz w:val="32"/>
          <w:szCs w:val="32"/>
          <w:highlight w:val="none"/>
          <w:lang w:val="en"/>
          <w14:textFill>
            <w14:solidFill>
              <w14:schemeClr w14:val="tx1"/>
            </w14:solidFill>
          </w14:textFill>
        </w:rPr>
        <w:t>人员</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、工资变动，以及缴纳养老保险的基数调整导致预算增加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社会保障和就业支出（类）行政事业单位养老支出（款）机关事业单位职业年金缴费支出（项）202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1835.13</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1507.06</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328.07</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ascii="Times New Roman" w:hAnsi="Times New Roman" w:eastAsia="仿宋_GB2312" w:cs="Times New Roman"/>
          <w:color w:val="000000" w:themeColor="text1"/>
          <w:sz w:val="32"/>
          <w:szCs w:val="32"/>
          <w:highlight w:val="none"/>
          <w:lang w:val="en"/>
          <w14:textFill>
            <w14:solidFill>
              <w14:schemeClr w14:val="tx1"/>
            </w14:solidFill>
          </w14:textFill>
        </w:rPr>
        <w:t>人员</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、工资变动，以及缴纳职业年金的基数调整导致预算增加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社会保障和就业支出（类）抚恤（款）其他优抚支出（项）202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38.71</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比</w:t>
      </w:r>
      <w:r>
        <w:rPr>
          <w:rFonts w:ascii="Times New Roman" w:hAnsi="Times New Roman" w:eastAsia="仿宋_GB2312" w:cs="Times New Roman"/>
          <w:color w:val="000000" w:themeColor="text1"/>
          <w:sz w:val="32"/>
          <w:szCs w:val="32"/>
          <w:highlight w:val="none"/>
          <w14:textFill>
            <w14:solidFill>
              <w14:schemeClr w14:val="tx1"/>
            </w14:solidFill>
          </w14:textFill>
        </w:rPr>
        <w:t>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27.07</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11.64</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ascii="Times New Roman" w:hAnsi="Times New Roman" w:eastAsia="仿宋_GB2312" w:cs="Times New Roman"/>
          <w:color w:val="000000" w:themeColor="text1"/>
          <w:sz w:val="32"/>
          <w:szCs w:val="32"/>
          <w:highlight w:val="none"/>
          <w14:textFill>
            <w14:solidFill>
              <w14:schemeClr w14:val="tx1"/>
            </w14:solidFill>
          </w14:textFill>
        </w:rPr>
        <w:t>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人员变动，以及缴纳基数调整导致预算增加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卫生健康支出（类）行政事业单位医疗（款）行政单位医疗</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92.08</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万元，比上年预算数（85.</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08</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人员、工资变动，以及缴纳社保基数调整导致预算增加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卫生健康支出（类）行政事业单位医疗（款）事业单位医疗（项）202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457.88</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408</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49.88</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人员、工资变动，以及缴纳社保基数调整导致预算增加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卫生健康支出（类）行政事业单位医疗（款）公务员医疗补助（项）202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855.22</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581.09</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274.13</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人员、工资变动，以及缴纳社保基数调整导致预算增加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农林水支出（类）水利（款）行政运行（项）202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2077.02</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1958.32</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118.7</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0</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农林水支出（类）水利（款）一般行政管理事务（项）202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67.89</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105.38</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37.49</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2024</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编制了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3名来琼挂职干部保障经费</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农林水支出（类）水利（款）水利行业业务管理（项）202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1613</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1806</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193</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省水务部门厉行节约，落实过紧日子要求，严格压减一般性支出</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农林水支出（类）水利（款）水利工程建设（项）202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21635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.61</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117483.15</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988</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.46</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增加牛路岭灌区、病险水库水闸除险加固工程等水利工程建设支出</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农林水支出（类）水利（款）水利工程运行与维护（项）202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2803</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与</w:t>
      </w:r>
      <w:r>
        <w:rPr>
          <w:rFonts w:ascii="Times New Roman" w:hAnsi="Times New Roman" w:eastAsia="仿宋_GB2312" w:cs="Times New Roman"/>
          <w:color w:val="000000" w:themeColor="text1"/>
          <w:sz w:val="32"/>
          <w:szCs w:val="32"/>
          <w:highlight w:val="none"/>
          <w14:textFill>
            <w14:solidFill>
              <w14:schemeClr w14:val="tx1"/>
            </w14:solidFill>
          </w14:textFill>
        </w:rPr>
        <w:t>上年预算数（</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2803</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持平。</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农林水支出（类）水利（款）水利前期工作（项）202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715</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1087</w:t>
      </w:r>
      <w:r>
        <w:rPr>
          <w:rFonts w:ascii="Times New Roman" w:hAnsi="Times New Roman" w:eastAsia="仿宋_GB2312" w:cs="Times New Roman"/>
          <w:color w:val="000000" w:themeColor="text1"/>
          <w:sz w:val="32"/>
          <w:szCs w:val="32"/>
          <w:highlight w:val="none"/>
          <w14:textFill>
            <w14:solidFill>
              <w14:schemeClr w14:val="tx1"/>
            </w14:solidFill>
          </w14:textFill>
        </w:rPr>
        <w:t>万元）减少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372</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省水务部门厉行节约，落实过紧日子要求，严格压减一般性支出</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农林水支出（类）水利（款）水资源节约管理与保护（项）202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891.93</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772.21</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119.72</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松涛灌区分局增加了</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松涛水库饮用水水源一级水源保护区范围水上警示工程</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项目预算</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6</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水质监测</w:t>
      </w:r>
      <w:r>
        <w:rPr>
          <w:rFonts w:ascii="Times New Roman" w:hAnsi="Times New Roman" w:eastAsia="仿宋_GB2312" w:cs="Times New Roman"/>
          <w:color w:val="000000" w:themeColor="text1"/>
          <w:sz w:val="32"/>
          <w:szCs w:val="32"/>
          <w:highlight w:val="none"/>
          <w14:textFill>
            <w14:solidFill>
              <w14:schemeClr w14:val="tx1"/>
            </w14:solidFill>
          </w14:textFill>
        </w:rPr>
        <w:t>（项）20</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174</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174</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省水文局增加了</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国家水资源监控能力建设海南省水质自动监测站设备更新改造</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项目</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农林水支出（类）水利（款）水文测报（项）202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6266.59</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3243.07</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3023.52</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省水文局</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2024</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年增加了历年项目尾款预算</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8</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农林水支出（类）水利（款）防汛（项）202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2729.75</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1463.33</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1266.42</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省水务厅本级</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2024</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年增加了山洪灾害防治项目中央建设资金</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19</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农林水支出（类）水利（款）信息管理（项）202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1163.5</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1905</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741.5</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省水务厅本级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智慧水网建设项目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023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年安排进度款</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1000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万元，2024年安排尾款258.5万元</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农林水支</w:t>
      </w:r>
      <w:r>
        <w:rPr>
          <w:rFonts w:ascii="Times New Roman" w:hAnsi="Times New Roman" w:eastAsia="仿宋_GB2312" w:cs="Times New Roman"/>
          <w:color w:val="000000" w:themeColor="text1"/>
          <w:sz w:val="32"/>
          <w:szCs w:val="32"/>
          <w:highlight w:val="none"/>
          <w14:textFill>
            <w14:solidFill>
              <w14:schemeClr w14:val="tx1"/>
            </w14:solidFill>
          </w14:textFill>
        </w:rPr>
        <w:t>出（类）水利（款）其他水利支出（项）202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19131.7</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18997.15</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134.55</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下属单位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增加了防溺水安全防护提升工程项目预算</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住房保障支出（类）住房改革支出（款）住房公积金（项）202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1032.12</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952.77</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79.35</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人员、工资变动，以及缴纳住房公积金基数调整导致预算增加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住房保障支出（类）住房改革支出（款）购房补贴（项）202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44</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与</w:t>
      </w:r>
      <w:r>
        <w:rPr>
          <w:rFonts w:ascii="Times New Roman" w:hAnsi="Times New Roman" w:eastAsia="仿宋_GB2312" w:cs="Times New Roman"/>
          <w:color w:val="000000" w:themeColor="text1"/>
          <w:sz w:val="32"/>
          <w:szCs w:val="32"/>
          <w:highlight w:val="none"/>
          <w14:textFill>
            <w14:solidFill>
              <w14:schemeClr w14:val="tx1"/>
            </w14:solidFill>
          </w14:textFill>
        </w:rPr>
        <w:t>上年预算数（1.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44</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持平</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三、关于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年一般公共预算基本支出为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17149.85</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人员经费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14638.34</w:t>
      </w:r>
      <w:r>
        <w:rPr>
          <w:rFonts w:hint="eastAsia" w:ascii="仿宋_GB2312" w:hAnsi="黑体" w:eastAsia="仿宋_GB2312"/>
          <w:color w:val="000000" w:themeColor="text1"/>
          <w:sz w:val="32"/>
          <w:szCs w:val="32"/>
          <w:highlight w:val="none"/>
          <w:u w:val="none"/>
          <w14:textFill>
            <w14:solidFill>
              <w14:schemeClr w14:val="tx1"/>
            </w14:solidFill>
          </w14:textFill>
        </w:rPr>
        <w:t>万元，主要包括：基本工资、津贴补贴、奖金、社会保障缴费、医疗费、其他工资福利支出</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等</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公用经费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2511.52</w:t>
      </w:r>
      <w:r>
        <w:rPr>
          <w:rFonts w:hint="eastAsia" w:ascii="仿宋_GB2312" w:hAnsi="黑体" w:eastAsia="仿宋_GB2312"/>
          <w:color w:val="000000" w:themeColor="text1"/>
          <w:sz w:val="32"/>
          <w:szCs w:val="32"/>
          <w:highlight w:val="none"/>
          <w:u w:val="none"/>
          <w14:textFill>
            <w14:solidFill>
              <w14:schemeClr w14:val="tx1"/>
            </w14:solidFill>
          </w14:textFill>
        </w:rPr>
        <w:t>万元，主要包括：办公费、咨询费、手续费、水费、电费、印刷费</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、物业管理费、差旅费、维修（护）费、租赁费、专用材料费、专用燃料费、其他交通费用等</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四、</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年“三公”经费预算情况</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说明</w:t>
      </w:r>
    </w:p>
    <w:p>
      <w:pPr>
        <w:ind w:firstLine="640" w:firstLineChars="200"/>
        <w:rPr>
          <w:rFonts w:ascii="仿宋_GB2312" w:hAnsi="黑体" w:eastAsia="仿宋_GB2312" w:cs="Times New Roman"/>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（一）</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年一般公共预算“三公”经费预算数为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152.1</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p>
    <w:p>
      <w:pPr>
        <w:keepNext w:val="0"/>
        <w:keepLines w:val="0"/>
        <w:widowControl/>
        <w:suppressLineNumbers w:val="0"/>
        <w:ind w:firstLine="640" w:firstLineChars="200"/>
        <w:jc w:val="both"/>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14:textFill>
            <w14:solidFill>
              <w14:schemeClr w14:val="tx1"/>
            </w14:solidFill>
          </w14:textFill>
        </w:rPr>
      </w:pP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因公出国（境）经费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年预算增长</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328.57</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highlight w:val="none"/>
          <w:u w:val="none"/>
          <w14:textFill>
            <w14:solidFill>
              <w14:schemeClr w14:val="tx1"/>
            </w14:solidFill>
          </w14:textFill>
        </w:rPr>
        <w:t>增长的</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主要原因包括：</w:t>
      </w:r>
      <w:r>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14:textFill>
            <w14:solidFill>
              <w14:schemeClr w14:val="tx1"/>
            </w14:solidFill>
          </w14:textFill>
        </w:rPr>
        <w:t>欧洲部分发达国家在城市供排水、水处理和再利用、节水及海水利用等方面拥有世界领先的科学技术，具有先进的管理制度，拟计划到两个治水优秀的国家进行调研学习</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根据</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海南省外事部门</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安排的</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2024</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年出国计划，拟安排出国（境）</w:t>
      </w:r>
      <w:r>
        <w:rPr>
          <w:rFonts w:hint="default"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团（</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组</w:t>
      </w:r>
      <w:r>
        <w:rPr>
          <w:rFonts w:hint="default"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1</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次，出国（境）</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5</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人。出国（境）团组主要包括：1.</w:t>
      </w:r>
      <w:r>
        <w:rPr>
          <w:rFonts w:hint="default" w:ascii="Times New Roman" w:hAnsi="Times New Roman" w:eastAsia="仿宋_GB2312" w:cs="Times New Roman"/>
          <w:color w:val="000000" w:themeColor="text1"/>
          <w:sz w:val="32"/>
          <w:highlight w:val="none"/>
          <w:u w:val="none"/>
          <w:shd w:val="clear" w:color="auto" w:fill="FFFFFF"/>
          <w:lang w:val="en-US" w:eastAsia="zh-CN"/>
          <w14:textFill>
            <w14:solidFill>
              <w14:schemeClr w14:val="tx1"/>
            </w14:solidFill>
          </w14:textFill>
        </w:rPr>
        <w:t>1</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团组：目的地为</w:t>
      </w:r>
      <w:r>
        <w:rPr>
          <w:rFonts w:hint="default"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德国、瑞士</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，人数为</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5</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人，天数为</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8</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天，主要任务为</w:t>
      </w:r>
      <w:r>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14:textFill>
            <w14:solidFill>
              <w14:schemeClr w14:val="tx1"/>
            </w14:solidFill>
          </w14:textFill>
        </w:rPr>
        <w:t>拟计划走访国外先进供水和治污企业，调研防洪排涝和农业节水典范工程，与当地水务、环境及河道管理机构等开展交流，学习其先进的治水理念和经验做法，寻求在水务管理和水利科技等方面的合作机会。</w:t>
      </w:r>
    </w:p>
    <w:p>
      <w:pPr>
        <w:ind w:firstLine="630"/>
        <w:rPr>
          <w:rFonts w:ascii="Times New Roman" w:hAnsi="Times New Roman" w:eastAsia="仿宋_GB2312" w:cs="Times New Roman"/>
          <w:color w:val="000000" w:themeColor="text1"/>
          <w:sz w:val="32"/>
          <w:szCs w:val="32"/>
          <w:highlight w:val="none"/>
          <w:u w:val="none"/>
          <w:shd w:val="clear"/>
          <w:lang w:val="en"/>
          <w14:textFill>
            <w14:solidFill>
              <w14:schemeClr w14:val="tx1"/>
            </w14:solidFill>
          </w14:textFill>
        </w:rPr>
      </w:pP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公务用车购置及运行费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117.9</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运行费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117.9</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6.87</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lang w:val="en-US" w:eastAsia="zh-CN"/>
          <w14:textFill>
            <w14:solidFill>
              <w14:schemeClr w14:val="tx1"/>
            </w14:solidFill>
          </w14:textFill>
        </w:rPr>
        <w:t>增长</w:t>
      </w:r>
      <w:r>
        <w:rPr>
          <w:rFonts w:ascii="Times New Roman" w:hAnsi="Times New Roman" w:eastAsia="仿宋_GB2312" w:cs="Times New Roman"/>
          <w:color w:val="000000" w:themeColor="text1"/>
          <w:sz w:val="32"/>
          <w:highlight w:val="none"/>
          <w:u w:val="none"/>
          <w14:textFill>
            <w14:solidFill>
              <w14:schemeClr w14:val="tx1"/>
            </w14:solidFill>
          </w14:textFill>
        </w:rPr>
        <w:t>的</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省机关事务管理局增加省水务厅本级</w:t>
      </w:r>
      <w:r>
        <w:rPr>
          <w:rFonts w:hint="eastAsia" w:ascii="Times New Roman" w:hAnsi="Times New Roman" w:eastAsia="仿宋_GB2312" w:cs="Times New Roman"/>
          <w:color w:val="000000" w:themeColor="text1"/>
          <w:sz w:val="32"/>
          <w:highlight w:val="none"/>
          <w:u w:val="none"/>
          <w:shd w:val="clear" w:color="auto" w:fill="FFFFFF"/>
          <w:lang w:val="en-US" w:eastAsia="zh-CN"/>
          <w14:textFill>
            <w14:solidFill>
              <w14:schemeClr w14:val="tx1"/>
            </w14:solidFill>
          </w14:textFill>
        </w:rPr>
        <w:t>1辆</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编制数，省水务厅本级</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公务用车购置及运行费</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预算有所增加；</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公务车保有量</w:t>
      </w:r>
      <w:r>
        <w:rPr>
          <w:rFonts w:hint="default" w:ascii="Times New Roman" w:hAnsi="Times New Roman" w:eastAsia="仿宋_GB2312" w:cs="Times New Roman"/>
          <w:color w:val="000000" w:themeColor="text1"/>
          <w:sz w:val="32"/>
          <w:highlight w:val="none"/>
          <w:u w:val="none"/>
          <w:shd w:val="clear" w:color="auto" w:fill="FFFFFF"/>
          <w:lang w:val="en" w:eastAsia="zh-CN"/>
          <w14:textFill>
            <w14:solidFill>
              <w14:schemeClr w14:val="tx1"/>
            </w14:solidFill>
          </w14:textFill>
        </w:rPr>
        <w:t>40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辆，计划购置</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ascii="仿宋_GB2312" w:hAnsi="黑体" w:eastAsia="仿宋_GB2312" w:cs="Times New Roman"/>
          <w:color w:val="000000" w:themeColor="text1"/>
          <w:sz w:val="32"/>
          <w:szCs w:val="32"/>
          <w:highlight w:val="none"/>
          <w:u w:val="none"/>
          <w14:textFill>
            <w14:solidFill>
              <w14:schemeClr w14:val="tx1"/>
            </w14:solidFill>
          </w14:textFill>
        </w:rPr>
        <w:t>公务接待费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4.2</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万元，较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年预算下降</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2.32</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highlight w:val="none"/>
          <w:u w:val="none"/>
          <w14:textFill>
            <w14:solidFill>
              <w14:schemeClr w14:val="tx1"/>
            </w14:solidFill>
          </w14:textFill>
        </w:rPr>
        <w:t>下降</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主要原因包括</w:t>
      </w:r>
      <w:r>
        <w:rPr>
          <w:rFonts w:ascii="Times New Roman" w:hAnsi="Times New Roman" w:eastAsia="仿宋_GB2312" w:cs="Times New Roman"/>
          <w:color w:val="000000" w:themeColor="text1"/>
          <w:sz w:val="32"/>
          <w:szCs w:val="32"/>
          <w:highlight w:val="none"/>
          <w:u w:val="none"/>
          <w:shd w:val="clear"/>
          <w:lang w:val="e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shd w:val="clear"/>
          <w:lang w:val="en" w:eastAsia="zh-CN"/>
          <w14:textFill>
            <w14:solidFill>
              <w14:schemeClr w14:val="tx1"/>
            </w14:solidFill>
          </w14:textFill>
        </w:rPr>
        <w:t>省水务部门</w:t>
      </w:r>
      <w:r>
        <w:rPr>
          <w:rFonts w:hint="default" w:ascii="Times New Roman" w:hAnsi="Times New Roman" w:eastAsia="仿宋_GB2312" w:cs="Times New Roman"/>
          <w:color w:val="000000" w:themeColor="text1"/>
          <w:sz w:val="32"/>
          <w:szCs w:val="32"/>
          <w:highlight w:val="none"/>
          <w:u w:val="none"/>
          <w:shd w:val="clear"/>
          <w:lang w:val="en" w:eastAsia="zh-CN"/>
          <w14:textFill>
            <w14:solidFill>
              <w14:schemeClr w14:val="tx1"/>
            </w14:solidFill>
          </w14:textFill>
        </w:rPr>
        <w:t>厉行节约，严格压减公务接待费预算</w:t>
      </w:r>
      <w:r>
        <w:rPr>
          <w:rFonts w:hint="default" w:ascii="Times New Roman" w:hAnsi="Times New Roman" w:eastAsia="仿宋_GB2312" w:cs="Times New Roman"/>
          <w:color w:val="000000" w:themeColor="text1"/>
          <w:sz w:val="32"/>
          <w:szCs w:val="32"/>
          <w:highlight w:val="none"/>
          <w:u w:val="none"/>
          <w:shd w:val="clear"/>
          <w:lang w:val="en"/>
          <w14:textFill>
            <w14:solidFill>
              <w14:schemeClr w14:val="tx1"/>
            </w14:solidFill>
          </w14:textFill>
        </w:rPr>
        <w:t>，计划接待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40</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批</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420</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人</w:t>
      </w:r>
      <w:r>
        <w:rPr>
          <w:rFonts w:hint="default" w:ascii="Times New Roman" w:hAnsi="Times New Roman" w:eastAsia="仿宋_GB2312" w:cs="Times New Roman"/>
          <w:color w:val="000000" w:themeColor="text1"/>
          <w:sz w:val="32"/>
          <w:szCs w:val="32"/>
          <w:highlight w:val="none"/>
          <w:u w:val="none"/>
          <w:shd w:val="clear"/>
          <w:lang w:val="en"/>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（二）</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年政府性基金预算“三公”经费预算数为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p>
    <w:p>
      <w:pPr>
        <w:ind w:firstLine="640" w:firstLineChars="200"/>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因公出国（境）经费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公务用车购置及运行费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运行费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；公务车保有量</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辆，计划购置</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ascii="仿宋_GB2312" w:hAnsi="黑体" w:eastAsia="仿宋_GB2312" w:cs="Times New Roman"/>
          <w:color w:val="000000" w:themeColor="text1"/>
          <w:sz w:val="32"/>
          <w:szCs w:val="32"/>
          <w:highlight w:val="none"/>
          <w:u w:val="none"/>
          <w14:textFill>
            <w14:solidFill>
              <w14:schemeClr w14:val="tx1"/>
            </w14:solidFill>
          </w14:textFill>
        </w:rPr>
        <w:t>公务接待费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计划接待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人</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五、关于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政府性基金预算当年拨款情况说明</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（一）政府性基金预算当年规模变化情况</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年政府性基金预算当年拨款</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49.68</w:t>
      </w:r>
      <w:r>
        <w:rPr>
          <w:rFonts w:hint="eastAsia" w:ascii="仿宋_GB2312" w:hAnsi="黑体" w:eastAsia="仿宋_GB2312"/>
          <w:color w:val="000000" w:themeColor="text1"/>
          <w:sz w:val="32"/>
          <w:szCs w:val="32"/>
          <w:highlight w:val="none"/>
          <w:u w:val="none"/>
          <w:lang w:val="en" w:eastAsia="zh-CN"/>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4.68</w:t>
      </w:r>
      <w:r>
        <w:rPr>
          <w:rFonts w:hint="eastAsia" w:ascii="仿宋_GB2312" w:hAnsi="黑体" w:eastAsia="仿宋_GB2312"/>
          <w:color w:val="000000" w:themeColor="text1"/>
          <w:sz w:val="32"/>
          <w:szCs w:val="32"/>
          <w:highlight w:val="none"/>
          <w:u w:val="none"/>
          <w14:textFill>
            <w14:solidFill>
              <w14:schemeClr w14:val="tx1"/>
            </w14:solidFill>
          </w14:textFill>
        </w:rPr>
        <w:t>万元，主要是</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2023</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年</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大中型水库移民后期扶持基金</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预算含有历年结转结余资金</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（二）政府性基金预算当年拨款结构情况</w:t>
      </w:r>
    </w:p>
    <w:p>
      <w:pPr>
        <w:ind w:firstLine="800" w:firstLineChars="25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农林水支出（类）支出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100</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（三）政府性基金预算当年拨款具体使用情况</w:t>
      </w:r>
    </w:p>
    <w:p>
      <w:pPr>
        <w:ind w:firstLine="640" w:firstLineChars="200"/>
        <w:rPr>
          <w:rFonts w:ascii="Times New Roman" w:hAnsi="Times New Roman" w:eastAsia="仿宋_GB2312" w:cs="Times New Roman"/>
          <w:color w:val="000000" w:themeColor="text1"/>
          <w:sz w:val="32"/>
          <w:szCs w:val="32"/>
          <w:highlight w:val="none"/>
          <w:u w:val="none"/>
          <w:lang w:val="en"/>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农林水支出（类）大中型水库移民后期扶持基金支出（款）其他大中型水库移民后期扶持基金支出（项）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万元，比上</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年预算数</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（49.68万元）</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4.68</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万元，主要是</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2023年</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大中型水库移民后期扶持基金</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预算含有历年结转结余资金。</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六、关于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收支预算情况的总体说明</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按照综合预算原则，</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所有收入和支出均纳入部门预算管理。收入包括：一般公共预算收入、政府性基金收入、事业收入、</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其他收入</w:t>
      </w:r>
      <w:r>
        <w:rPr>
          <w:rFonts w:hint="eastAsia" w:ascii="仿宋_GB2312" w:hAnsi="黑体" w:eastAsia="仿宋_GB2312"/>
          <w:color w:val="000000" w:themeColor="text1"/>
          <w:sz w:val="32"/>
          <w:szCs w:val="32"/>
          <w:highlight w:val="none"/>
          <w:u w:val="none"/>
          <w14:textFill>
            <w14:solidFill>
              <w14:schemeClr w14:val="tx1"/>
            </w14:solidFill>
          </w14:textFill>
        </w:rPr>
        <w:t>；支出包括：</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科学技术支出、社会保障和就业支出、卫生健康支出、农林水支出、住房保障支出</w:t>
      </w:r>
      <w:r>
        <w:rPr>
          <w:rFonts w:hint="eastAsia" w:ascii="仿宋_GB2312" w:hAnsi="黑体" w:eastAsia="仿宋_GB2312"/>
          <w:color w:val="000000" w:themeColor="text1"/>
          <w:sz w:val="32"/>
          <w:szCs w:val="32"/>
          <w:highlight w:val="none"/>
          <w:u w:val="none"/>
          <w14:textFill>
            <w14:solidFill>
              <w14:schemeClr w14:val="tx1"/>
            </w14:solidFill>
          </w14:textFill>
        </w:rPr>
        <w:t>、债务付息支出。</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年收支总预算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265438.79</w:t>
      </w:r>
      <w:r>
        <w:rPr>
          <w:rFonts w:hint="eastAsia" w:ascii="仿宋_GB2312" w:hAnsi="黑体" w:eastAsia="仿宋_GB2312"/>
          <w:color w:val="000000" w:themeColor="text1"/>
          <w:sz w:val="32"/>
          <w:szCs w:val="32"/>
          <w:highlight w:val="none"/>
          <w:u w:val="none"/>
          <w14:textFill>
            <w14:solidFill>
              <w14:schemeClr w14:val="tx1"/>
            </w14:solidFill>
          </w14:textFill>
        </w:rPr>
        <w:t>万元。</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七、关于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收入预算情况说明</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年收入预算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265438.79</w:t>
      </w:r>
      <w:r>
        <w:rPr>
          <w:rFonts w:hint="eastAsia" w:ascii="仿宋_GB2312" w:hAnsi="黑体" w:eastAsia="仿宋_GB2312"/>
          <w:color w:val="000000" w:themeColor="text1"/>
          <w:sz w:val="32"/>
          <w:szCs w:val="32"/>
          <w:highlight w:val="none"/>
          <w:u w:val="none"/>
          <w14:textFill>
            <w14:solidFill>
              <w14:schemeClr w14:val="tx1"/>
            </w14:solidFill>
          </w14:textFill>
        </w:rPr>
        <w:t>万元，其中：上年结转</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101974.94</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38.42</w:t>
      </w:r>
      <w:r>
        <w:rPr>
          <w:rFonts w:hint="eastAsia" w:ascii="仿宋_GB2312" w:hAnsi="黑体" w:eastAsia="仿宋_GB2312"/>
          <w:color w:val="000000" w:themeColor="text1"/>
          <w:sz w:val="32"/>
          <w:szCs w:val="32"/>
          <w:highlight w:val="none"/>
          <w:u w:val="none"/>
          <w14:textFill>
            <w14:solidFill>
              <w14:schemeClr w14:val="tx1"/>
            </w14:solidFill>
          </w14:textFill>
        </w:rPr>
        <w:t>%；经费拨款收入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160790.85</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60.58</w:t>
      </w:r>
      <w:r>
        <w:rPr>
          <w:rFonts w:hint="eastAsia" w:ascii="仿宋_GB2312" w:hAnsi="黑体" w:eastAsia="仿宋_GB2312"/>
          <w:color w:val="000000" w:themeColor="text1"/>
          <w:sz w:val="32"/>
          <w:szCs w:val="32"/>
          <w:highlight w:val="none"/>
          <w:u w:val="none"/>
          <w14:textFill>
            <w14:solidFill>
              <w14:schemeClr w14:val="tx1"/>
            </w14:solidFill>
          </w14:textFill>
        </w:rPr>
        <w:t>%；政府性基金收入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0.017</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事业</w:t>
      </w:r>
      <w:r>
        <w:rPr>
          <w:rFonts w:hint="eastAsia" w:ascii="仿宋_GB2312" w:hAnsi="黑体" w:eastAsia="仿宋_GB2312"/>
          <w:color w:val="000000" w:themeColor="text1"/>
          <w:sz w:val="32"/>
          <w:szCs w:val="32"/>
          <w:highlight w:val="none"/>
          <w:u w:val="none"/>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2600</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0.98</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；其他收入</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28</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0.01</w:t>
      </w:r>
      <w:r>
        <w:rPr>
          <w:rFonts w:hint="eastAsia" w:ascii="仿宋_GB2312" w:hAnsi="黑体" w:eastAsia="仿宋_GB2312"/>
          <w:color w:val="000000" w:themeColor="text1"/>
          <w:sz w:val="32"/>
          <w:szCs w:val="32"/>
          <w:highlight w:val="none"/>
          <w:u w:val="none"/>
          <w14:textFill>
            <w14:solidFill>
              <w14:schemeClr w14:val="tx1"/>
            </w14:solidFill>
          </w14:textFill>
        </w:rPr>
        <w:t>%。比上年预算数</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160289.46</w:t>
      </w:r>
      <w:r>
        <w:rPr>
          <w:rFonts w:hint="eastAsia" w:ascii="仿宋_GB2312" w:hAnsi="黑体" w:eastAsia="仿宋_GB2312"/>
          <w:color w:val="000000" w:themeColor="text1"/>
          <w:sz w:val="32"/>
          <w:szCs w:val="32"/>
          <w:highlight w:val="none"/>
          <w:u w:val="none"/>
          <w:lang w:val="en" w:eastAsia="zh-CN"/>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105149.33</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default" w:ascii="仿宋_GB2312" w:hAnsi="黑体" w:eastAsia="仿宋_GB2312"/>
          <w:color w:val="000000" w:themeColor="text1"/>
          <w:sz w:val="32"/>
          <w:szCs w:val="32"/>
          <w:highlight w:val="none"/>
          <w:u w:val="none"/>
          <w:lang w:val="e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增加牛路岭灌区、病险水库水闸除险加固工程等水利工程建设资金收入预算</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八、关于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支出预算情况说明</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年支出预算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261437.54</w:t>
      </w:r>
      <w:r>
        <w:rPr>
          <w:rFonts w:hint="eastAsia" w:ascii="仿宋_GB2312" w:hAnsi="黑体" w:eastAsia="仿宋_GB2312"/>
          <w:color w:val="000000" w:themeColor="text1"/>
          <w:sz w:val="32"/>
          <w:szCs w:val="32"/>
          <w:highlight w:val="none"/>
          <w:u w:val="none"/>
          <w14:textFill>
            <w14:solidFill>
              <w14:schemeClr w14:val="tx1"/>
            </w14:solidFill>
          </w14:textFill>
        </w:rPr>
        <w:t>万元，其中：基本支出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17502.61</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6.69</w:t>
      </w:r>
      <w:r>
        <w:rPr>
          <w:rFonts w:hint="eastAsia" w:ascii="仿宋_GB2312" w:hAnsi="黑体" w:eastAsia="仿宋_GB2312"/>
          <w:color w:val="000000" w:themeColor="text1"/>
          <w:sz w:val="32"/>
          <w:szCs w:val="32"/>
          <w:highlight w:val="none"/>
          <w:u w:val="none"/>
          <w14:textFill>
            <w14:solidFill>
              <w14:schemeClr w14:val="tx1"/>
            </w14:solidFill>
          </w14:textFill>
        </w:rPr>
        <w:t>%；项目支出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243934.94</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93.31</w:t>
      </w:r>
      <w:r>
        <w:rPr>
          <w:rFonts w:hint="eastAsia" w:ascii="仿宋_GB2312" w:hAnsi="黑体" w:eastAsia="仿宋_GB2312"/>
          <w:color w:val="000000" w:themeColor="text1"/>
          <w:sz w:val="32"/>
          <w:szCs w:val="32"/>
          <w:highlight w:val="none"/>
          <w:u w:val="none"/>
          <w14:textFill>
            <w14:solidFill>
              <w14:schemeClr w14:val="tx1"/>
            </w14:solidFill>
          </w14:textFill>
        </w:rPr>
        <w:t>%。比上年预算数</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159115.15</w:t>
      </w:r>
      <w:r>
        <w:rPr>
          <w:rFonts w:hint="eastAsia" w:ascii="仿宋_GB2312" w:hAnsi="黑体" w:eastAsia="仿宋_GB2312"/>
          <w:color w:val="000000" w:themeColor="text1"/>
          <w:sz w:val="32"/>
          <w:szCs w:val="32"/>
          <w:highlight w:val="none"/>
          <w:u w:val="none"/>
          <w:lang w:val="en" w:eastAsia="zh-CN"/>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102322.39</w:t>
      </w:r>
      <w:r>
        <w:rPr>
          <w:rFonts w:hint="eastAsia" w:ascii="仿宋_GB2312" w:hAnsi="黑体" w:eastAsia="仿宋_GB2312"/>
          <w:color w:val="000000" w:themeColor="text1"/>
          <w:sz w:val="32"/>
          <w:szCs w:val="32"/>
          <w:highlight w:val="none"/>
          <w:u w:val="none"/>
          <w14:textFill>
            <w14:solidFill>
              <w14:schemeClr w14:val="tx1"/>
            </w14:solidFill>
          </w14:textFill>
        </w:rPr>
        <w:t>万元，主要是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增加牛路岭灌区、病险水库水闸除险加固工程等水利工程建设支出预算</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九、其他重要事项的情况说明</w:t>
      </w:r>
    </w:p>
    <w:p>
      <w:pPr>
        <w:ind w:firstLine="640" w:firstLineChars="200"/>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（一）机关运行经费</w:t>
      </w:r>
      <w:r>
        <w:rPr>
          <w:rFonts w:hint="eastAsia" w:ascii="楷体" w:hAnsi="楷体" w:eastAsia="楷体"/>
          <w:color w:val="000000" w:themeColor="text1"/>
          <w:sz w:val="32"/>
          <w:szCs w:val="32"/>
          <w:highlight w:val="none"/>
          <w:u w:val="none"/>
          <w:lang w:val="en-US" w:eastAsia="zh-CN"/>
          <w14:textFill>
            <w14:solidFill>
              <w14:schemeClr w14:val="tx1"/>
            </w14:solidFill>
          </w14:textFill>
        </w:rPr>
        <w:t>（</w:t>
      </w:r>
      <w:r>
        <w:rPr>
          <w:rFonts w:hint="eastAsia" w:ascii="楷体" w:hAnsi="楷体" w:eastAsia="楷体"/>
          <w:color w:val="000000" w:themeColor="text1"/>
          <w:sz w:val="32"/>
          <w:szCs w:val="32"/>
          <w:highlight w:val="none"/>
          <w:u w:val="none"/>
          <w14:textFill>
            <w14:solidFill>
              <w14:schemeClr w14:val="tx1"/>
            </w14:solidFill>
          </w14:textFill>
        </w:rPr>
        <w:t>行政单位</w:t>
      </w:r>
      <w:r>
        <w:rPr>
          <w:rFonts w:hint="eastAsia" w:ascii="楷体" w:hAnsi="楷体" w:eastAsia="楷体"/>
          <w:color w:val="000000" w:themeColor="text1"/>
          <w:sz w:val="32"/>
          <w:szCs w:val="32"/>
          <w:highlight w:val="none"/>
          <w:u w:val="none"/>
          <w:lang w:eastAsia="zh-CN"/>
          <w14:textFill>
            <w14:solidFill>
              <w14:schemeClr w14:val="tx1"/>
            </w14:solidFill>
          </w14:textFill>
        </w:rPr>
        <w:t>、</w:t>
      </w:r>
      <w:r>
        <w:rPr>
          <w:rFonts w:hint="eastAsia" w:ascii="楷体" w:hAnsi="楷体" w:eastAsia="楷体"/>
          <w:color w:val="000000" w:themeColor="text1"/>
          <w:sz w:val="32"/>
          <w:szCs w:val="32"/>
          <w:highlight w:val="none"/>
          <w:u w:val="none"/>
          <w14:textFill>
            <w14:solidFill>
              <w14:schemeClr w14:val="tx1"/>
            </w14:solidFill>
          </w14:textFill>
        </w:rPr>
        <w:t>参照公务员法管理的事业单位</w:t>
      </w:r>
      <w:r>
        <w:rPr>
          <w:rFonts w:hint="eastAsia" w:ascii="楷体" w:hAnsi="楷体" w:eastAsia="楷体"/>
          <w:color w:val="000000" w:themeColor="text1"/>
          <w:sz w:val="32"/>
          <w:szCs w:val="32"/>
          <w:highlight w:val="none"/>
          <w:u w:val="none"/>
          <w:lang w:eastAsia="zh-CN"/>
          <w14:textFill>
            <w14:solidFill>
              <w14:schemeClr w14:val="tx1"/>
            </w14:solidFill>
          </w14:textFill>
        </w:rPr>
        <w:t>需说明，其他单位不需要说明</w:t>
      </w:r>
      <w:r>
        <w:rPr>
          <w:rFonts w:hint="eastAsia" w:ascii="楷体" w:hAnsi="楷体" w:eastAsia="楷体"/>
          <w:color w:val="000000" w:themeColor="text1"/>
          <w:sz w:val="32"/>
          <w:szCs w:val="32"/>
          <w:highlight w:val="none"/>
          <w:u w:val="none"/>
          <w:lang w:val="en-US" w:eastAsia="zh-CN"/>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海南省水务建设质量监督定额局</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的机关运行经费预算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554.91</w:t>
      </w:r>
      <w:r>
        <w:rPr>
          <w:rFonts w:hint="eastAsia" w:ascii="仿宋_GB2312" w:hAnsi="黑体" w:eastAsia="仿宋_GB2312"/>
          <w:color w:val="000000" w:themeColor="text1"/>
          <w:sz w:val="32"/>
          <w:szCs w:val="32"/>
          <w:highlight w:val="none"/>
          <w:u w:val="none"/>
          <w14:textFill>
            <w14:solidFill>
              <w14:schemeClr w14:val="tx1"/>
            </w14:solidFill>
          </w14:textFill>
        </w:rPr>
        <w:t>万元。</w:t>
      </w:r>
    </w:p>
    <w:p>
      <w:pPr>
        <w:ind w:firstLine="640" w:firstLineChars="200"/>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（二）政府采购情况</w:t>
      </w:r>
    </w:p>
    <w:p>
      <w:pPr>
        <w:ind w:firstLine="640"/>
        <w:rPr>
          <w:rFonts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政府采购预算总额</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33722.68</w:t>
      </w:r>
      <w:r>
        <w:rPr>
          <w:rFonts w:hint="eastAsia" w:ascii="仿宋_GB2312" w:hAnsi="黑体" w:eastAsia="仿宋_GB2312"/>
          <w:color w:val="000000" w:themeColor="text1"/>
          <w:sz w:val="32"/>
          <w:szCs w:val="32"/>
          <w:highlight w:val="none"/>
          <w:u w:val="none"/>
          <w14:textFill>
            <w14:solidFill>
              <w14:schemeClr w14:val="tx1"/>
            </w14:solidFill>
          </w14:textFill>
        </w:rPr>
        <w:t>万元，其中：政府采购工程预算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19517.68</w:t>
      </w:r>
      <w:r>
        <w:rPr>
          <w:rFonts w:hint="eastAsia" w:ascii="仿宋_GB2312" w:hAnsi="黑体" w:eastAsia="仿宋_GB2312"/>
          <w:color w:val="000000" w:themeColor="text1"/>
          <w:sz w:val="32"/>
          <w:szCs w:val="32"/>
          <w:highlight w:val="none"/>
          <w:u w:val="none"/>
          <w14:textFill>
            <w14:solidFill>
              <w14:schemeClr w14:val="tx1"/>
            </w14:solidFill>
          </w14:textFill>
        </w:rPr>
        <w:t>万元，政府采购服务预算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14193.82</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政府采购</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货物</w:t>
      </w:r>
      <w:r>
        <w:rPr>
          <w:rFonts w:hint="eastAsia" w:ascii="仿宋_GB2312" w:hAnsi="黑体" w:eastAsia="仿宋_GB2312"/>
          <w:color w:val="000000" w:themeColor="text1"/>
          <w:sz w:val="32"/>
          <w:szCs w:val="32"/>
          <w:highlight w:val="none"/>
          <w:u w:val="none"/>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11.18</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万元</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（三）国有资产占有使用情况</w:t>
      </w:r>
    </w:p>
    <w:p>
      <w:pPr>
        <w:ind w:firstLine="640" w:firstLineChars="200"/>
        <w:rPr>
          <w:rFonts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截至</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2023</w:t>
      </w:r>
      <w:r>
        <w:rPr>
          <w:rFonts w:hint="eastAsia" w:ascii="仿宋_GB2312" w:hAnsi="黑体" w:eastAsia="仿宋_GB2312"/>
          <w:color w:val="000000" w:themeColor="text1"/>
          <w:sz w:val="32"/>
          <w:szCs w:val="32"/>
          <w:highlight w:val="none"/>
          <w:u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12</w:t>
      </w:r>
      <w:r>
        <w:rPr>
          <w:rFonts w:hint="eastAsia" w:ascii="仿宋_GB2312" w:hAnsi="黑体" w:eastAsia="仿宋_GB2312"/>
          <w:color w:val="000000" w:themeColor="text1"/>
          <w:sz w:val="32"/>
          <w:szCs w:val="32"/>
          <w:highlight w:val="none"/>
          <w:u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31</w:t>
      </w:r>
      <w:r>
        <w:rPr>
          <w:rFonts w:hint="eastAsia" w:ascii="仿宋_GB2312" w:hAnsi="黑体" w:eastAsia="仿宋_GB2312"/>
          <w:color w:val="000000" w:themeColor="text1"/>
          <w:sz w:val="32"/>
          <w:szCs w:val="32"/>
          <w:highlight w:val="none"/>
          <w:u w:val="none"/>
          <w14:textFill>
            <w14:solidFill>
              <w14:schemeClr w14:val="tx1"/>
            </w14:solidFill>
          </w14:textFill>
        </w:rPr>
        <w:t>日，</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本级及下属各预算单位共有车辆</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1</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其中，领导干部用车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辆，机要通信应急用车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辆、一般执法执勤用车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辆、特种专业技术用车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辆、其他用车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辆。单位价值100万元以上设备</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台（套）。</w:t>
      </w:r>
    </w:p>
    <w:p>
      <w:pPr>
        <w:widowControl/>
        <w:ind w:firstLine="640" w:firstLineChars="20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（四）</w:t>
      </w:r>
      <w:r>
        <w:rPr>
          <w:rFonts w:hint="eastAsia" w:ascii="楷体" w:hAnsi="楷体" w:eastAsia="楷体" w:cs="黑体"/>
          <w:i w:val="0"/>
          <w:caps w:val="0"/>
          <w:color w:val="000000" w:themeColor="text1"/>
          <w:spacing w:val="0"/>
          <w:kern w:val="2"/>
          <w:sz w:val="32"/>
          <w:szCs w:val="32"/>
          <w:highlight w:val="none"/>
          <w:lang w:val="en-US" w:eastAsia="zh-CN" w:bidi="ar"/>
          <w14:textFill>
            <w14:solidFill>
              <w14:schemeClr w14:val="tx1"/>
            </w14:solidFill>
          </w14:textFill>
        </w:rPr>
        <w:t>绩效目标设置及重点项目绩效目标说明</w:t>
      </w:r>
    </w:p>
    <w:p>
      <w:pPr>
        <w:ind w:firstLine="640" w:firstLineChars="200"/>
        <w:rPr>
          <w:rFonts w:hint="eastAsia"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134</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个项目实行绩效目标管理，涉及一般公共预算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162648.3</w:t>
      </w:r>
      <w:r>
        <w:rPr>
          <w:rFonts w:hint="eastAsia" w:ascii="仿宋_GB2312" w:hAnsi="黑体" w:eastAsia="仿宋_GB2312"/>
          <w:color w:val="000000" w:themeColor="text1"/>
          <w:sz w:val="32"/>
          <w:szCs w:val="32"/>
          <w:highlight w:val="none"/>
          <w:u w:val="none"/>
          <w14:textFill>
            <w14:solidFill>
              <w14:schemeClr w14:val="tx1"/>
            </w14:solidFill>
          </w14:textFill>
        </w:rPr>
        <w:t>万元、政府性基金</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w:t>
      </w:r>
    </w:p>
    <w:p>
      <w:pPr>
        <w:ind w:firstLine="640" w:firstLineChars="200"/>
        <w:rPr>
          <w:rFonts w:hint="eastAsia" w:ascii="仿宋_GB2312" w:hAnsi="黑体" w:eastAsia="仿宋_GB2312"/>
          <w:color w:val="000000" w:themeColor="text1"/>
          <w:sz w:val="32"/>
          <w:szCs w:val="32"/>
          <w:highlight w:val="none"/>
          <w:u w:val="none"/>
          <w:lang w:eastAsia="zh-CN"/>
          <w14:textFill>
            <w14:solidFill>
              <w14:schemeClr w14:val="tx1"/>
            </w14:solidFill>
          </w14:textFill>
        </w:rPr>
      </w:pP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其中，重点项目预算绩效情况：</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lang w:eastAsia="zh-CN"/>
        </w:rPr>
        <w:t>海南省牛路岭灌区工程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40</w:t>
      </w:r>
      <w:r>
        <w:rPr>
          <w:rFonts w:ascii="Times New Roman" w:hAnsi="Times New Roman" w:eastAsia="仿宋_GB2312" w:cs="Times New Roman"/>
          <w:color w:val="000000"/>
          <w:sz w:val="32"/>
          <w:szCs w:val="32"/>
        </w:rPr>
        <w:t>000万元，主要用于工程建设资金。</w:t>
      </w:r>
      <w:r>
        <w:rPr>
          <w:rFonts w:hint="eastAsia" w:ascii="Times New Roman" w:hAnsi="Times New Roman" w:eastAsia="仿宋_GB2312" w:cs="Times New Roman"/>
          <w:color w:val="000000"/>
          <w:sz w:val="32"/>
          <w:szCs w:val="32"/>
        </w:rPr>
        <w:t>牛路岭灌区工程是国务院确定的150项重大水利工程之一，该工程主要解决琼海、万宁两市大部分辖区中长期农业灌溉缺水和城乡供水问题，规划以已建牛路岭大型水库为主水源，通过新建和改造各级干支渠等设施，“长藤结瓜”连结灌区内已建的7座水库，对区域水资源进行联合调度配置。工程规模为Ⅱ等大（2）型工程，设计灌溉面积56.6万亩，其中新增灌溉面积23.2万亩，改善灌溉面积33.4万亩。主要建设内容有：新建引水总干渠、万宁隧洞、万宁干管、分干渠（管）3条、干支2条、支渠（管）13条、补水渠（管）3条及改扩建干支渠18条（包括排沟1条）。工程新建和改扩建渠道合计总长为192.19公里，其中：干渠总长21.21公里，分干渠（管）41.68公里，干支10.4公里，支渠（管）47.36公里，补水渠（管）2.60公里，改扩建渠道长68.94公里。</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rPr>
        <w:t>琼西北供水工程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40</w:t>
      </w:r>
      <w:r>
        <w:rPr>
          <w:rFonts w:ascii="Times New Roman" w:hAnsi="Times New Roman" w:eastAsia="仿宋_GB2312" w:cs="Times New Roman"/>
          <w:color w:val="000000"/>
          <w:sz w:val="32"/>
          <w:szCs w:val="32"/>
        </w:rPr>
        <w:t>000万元，主要用于工程建设资金。</w:t>
      </w:r>
      <w:r>
        <w:rPr>
          <w:rFonts w:hint="eastAsia" w:ascii="Times New Roman" w:hAnsi="Times New Roman" w:eastAsia="仿宋_GB2312" w:cs="Times New Roman"/>
          <w:color w:val="000000"/>
          <w:sz w:val="32"/>
          <w:szCs w:val="32"/>
        </w:rPr>
        <w:t>工程位于海南省西北部，儋州市和白沙县境内。海南省琼西北供水工程是海南省水网建设的重要组成部分，也是国务院确定的150项重大水利工程之一。项目建成后，将完成设计灌溉面积72万亩，其中，新增灌溉面积57万亩，改善灌溉面积15万亩；总供水量4.42亿立方米，其中，灌溉供水3.39亿立方米，城乡生活和工业供水1.03亿立方米，解决儋州市和白沙县境内63万人生活和城乡工业用水问题</w:t>
      </w:r>
      <w:r>
        <w:rPr>
          <w:rFonts w:hint="eastAsia" w:ascii="Times New Roman" w:hAnsi="Times New Roman" w:eastAsia="仿宋_GB2312" w:cs="Times New Roman"/>
          <w:color w:val="000000"/>
          <w:sz w:val="32"/>
          <w:szCs w:val="32"/>
          <w:lang w:eastAsia="zh-CN"/>
        </w:rPr>
        <w:t>。</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rPr>
        <w:t>海南省南渡江水系廊道生态修复保护工程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12000</w:t>
      </w:r>
      <w:r>
        <w:rPr>
          <w:rFonts w:ascii="Times New Roman" w:hAnsi="Times New Roman" w:eastAsia="仿宋_GB2312" w:cs="Times New Roman"/>
          <w:color w:val="000000"/>
          <w:sz w:val="32"/>
          <w:szCs w:val="32"/>
        </w:rPr>
        <w:t>万元，主要用于工程建设资金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工程是南渡江迈湾水利枢纽工程生态环境保护措施专项设计项目，主要任务为建设松涛水库生态流量泄放设施、下游河道疏浚整治及生态修复及建设在线监测系统，补建九龙滩水电站和谷石滩水电站鱼道工程，拆除腰子河3座小式电站等，解决该河段洄游鱼类上溯需求，以保护南渡江天然渔业资源，实现生态平衡、生物多样性和可持续发展。该工程已列入《海南省“十四五”水资源利用与保护规划》，其建设内容是迈湾水利枢纽工程已批复环保措施的组成部分，在迈湾水利枢纽工程前期工作推进过程中已经充分研究论证且已获批复</w:t>
      </w:r>
      <w:r>
        <w:rPr>
          <w:rFonts w:ascii="Times New Roman" w:hAnsi="Times New Roman" w:eastAsia="仿宋_GB2312" w:cs="Times New Roman"/>
          <w:color w:val="000000"/>
          <w:sz w:val="32"/>
          <w:szCs w:val="32"/>
        </w:rPr>
        <w:t>。</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rPr>
        <w:t>红岭灌区工程</w:t>
      </w:r>
      <w:r>
        <w:rPr>
          <w:rFonts w:ascii="Times New Roman" w:hAnsi="Times New Roman" w:eastAsia="仿宋_GB2312" w:cs="Times New Roman"/>
          <w:color w:val="000000"/>
          <w:sz w:val="32"/>
          <w:szCs w:val="32"/>
        </w:rPr>
        <w:t>，预算安排</w:t>
      </w:r>
      <w:r>
        <w:rPr>
          <w:rFonts w:hint="eastAsia" w:ascii="Times New Roman" w:hAnsi="Times New Roman" w:eastAsia="仿宋_GB2312" w:cs="Times New Roman"/>
          <w:color w:val="000000"/>
          <w:sz w:val="32"/>
          <w:szCs w:val="32"/>
          <w:lang w:val="en-US" w:eastAsia="zh-CN"/>
        </w:rPr>
        <w:t>6561</w:t>
      </w:r>
      <w:r>
        <w:rPr>
          <w:rFonts w:ascii="Times New Roman" w:hAnsi="Times New Roman" w:eastAsia="仿宋_GB2312" w:cs="Times New Roman"/>
          <w:color w:val="000000"/>
          <w:sz w:val="32"/>
          <w:szCs w:val="32"/>
        </w:rPr>
        <w:t>万元，主要用于</w:t>
      </w:r>
      <w:r>
        <w:rPr>
          <w:rFonts w:hint="eastAsia" w:ascii="Times New Roman" w:hAnsi="Times New Roman" w:eastAsia="仿宋_GB2312" w:cs="Times New Roman"/>
          <w:color w:val="000000"/>
          <w:sz w:val="32"/>
          <w:szCs w:val="32"/>
          <w:lang w:eastAsia="zh-CN"/>
        </w:rPr>
        <w:t>项目还本付息</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工程是国家172项节水供水重大水利工程项目之一，是红岭水利枢纽工程的配套项目，属于跨流域引水灌溉工程，以红岭水库为主要的灌溉水源，通过修建灌区的各级干支渠联结灌区内已建的中小水库，组成大、中、小并举，蓄、引相结合的长藤结瓜式自流灌溉系统。红岭灌区工程的建设任务是农业灌溉、城乡供水和农村饮水。灌区工程涉及琼中、文昌、定安、琼海、屯昌、海口等6市县（其中灌溉面积涉及文昌、定安、琼海、屯昌、海口等5市县），规划总灌溉面积145.48万亩，其中现状保灌面积45.22万亩，改善灌面13.72万亩，新增灌面86.54万亩。红岭灌区工程承担着向琼东北地区工农业生产及城乡居民生活供水的任务，是解决琼东北地区工程性缺水的重要工程，是支撑琼东北地区可持续发展的重要基础设施</w:t>
      </w:r>
      <w:r>
        <w:rPr>
          <w:rFonts w:ascii="Times New Roman" w:hAnsi="Times New Roman" w:eastAsia="仿宋_GB2312" w:cs="Times New Roman"/>
          <w:color w:val="000000"/>
          <w:sz w:val="32"/>
          <w:szCs w:val="32"/>
        </w:rPr>
        <w:t>。</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rPr>
        <w:t>海南省大广坝灌区2022年续建配套与现代化改造工程</w:t>
      </w:r>
      <w:r>
        <w:rPr>
          <w:rFonts w:ascii="Times New Roman" w:hAnsi="Times New Roman" w:eastAsia="仿宋_GB2312" w:cs="Times New Roman"/>
          <w:color w:val="000000"/>
          <w:sz w:val="32"/>
          <w:szCs w:val="32"/>
        </w:rPr>
        <w:t>，预算安排</w:t>
      </w:r>
      <w:r>
        <w:rPr>
          <w:rFonts w:hint="eastAsia" w:ascii="Times New Roman" w:hAnsi="Times New Roman" w:eastAsia="仿宋_GB2312" w:cs="Times New Roman"/>
          <w:color w:val="000000"/>
          <w:sz w:val="32"/>
          <w:szCs w:val="32"/>
          <w:lang w:val="en-US" w:eastAsia="zh-CN"/>
        </w:rPr>
        <w:t>5000</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rPr>
        <w:t>。大广坝灌区位于海南省的西南部，灌区范围涉及东方、乐东、昌江等三个市县，设计灌溉面积101.08万亩。灌区建成来，为琼西南地区的农田灌溉和城乡供水发挥了巨大的工程效益；但由于种种原因，灌区工程配套不完善，部分渠道损坏渗漏严重，灌溉保证率及灌溉水利用率较低，工程不能充分发挥效益，影响了灌区的农业增效、农民增收。为确保大广坝灌区工程安全运行，提高渠系水利用系数和渠道输水能力，改善灌区工程条件和农业生产条件，保障城乡供水安全，实施2022年度大广坝灌区续建配套与现代化改造工程是十分必要的</w:t>
      </w:r>
      <w:r>
        <w:rPr>
          <w:rFonts w:hint="eastAsia" w:ascii="Times New Roman" w:hAnsi="Times New Roman" w:eastAsia="仿宋_GB2312" w:cs="Times New Roman"/>
          <w:color w:val="000000"/>
          <w:sz w:val="32"/>
          <w:szCs w:val="32"/>
          <w:lang w:eastAsia="zh-CN"/>
        </w:rPr>
        <w:t>。工程主要建设内容为：渠道改造总长6.093公里，建筑物配套改造69宗，新建量水设施31处、信息化管理平台建设。</w:t>
      </w:r>
    </w:p>
    <w:p>
      <w:pPr>
        <w:jc w:val="left"/>
        <w:rPr>
          <w:rFonts w:ascii="仿宋_GB2312" w:hAnsi="宋体" w:eastAsia="仿宋_GB2312" w:cs="宋体"/>
          <w:color w:val="000000" w:themeColor="text1"/>
          <w:kern w:val="0"/>
          <w:sz w:val="32"/>
          <w:szCs w:val="30"/>
          <w:highlight w:val="none"/>
          <w:u w:val="none"/>
          <w14:textFill>
            <w14:solidFill>
              <w14:schemeClr w14:val="tx1"/>
            </w14:solidFill>
          </w14:textFill>
        </w:rPr>
      </w:pPr>
      <w:bookmarkStart w:id="0" w:name="_GoBack"/>
      <w:bookmarkEnd w:id="0"/>
    </w:p>
    <w:p>
      <w:pPr>
        <w:jc w:val="center"/>
        <w:rPr>
          <w:rFonts w:ascii="黑体" w:hAnsi="黑体" w:eastAsia="黑体"/>
          <w:b/>
          <w:color w:val="000000" w:themeColor="text1"/>
          <w:sz w:val="32"/>
          <w:szCs w:val="32"/>
          <w:highlight w:val="none"/>
          <w:u w:val="none"/>
          <w14:textFill>
            <w14:solidFill>
              <w14:schemeClr w14:val="tx1"/>
            </w14:solidFill>
          </w14:textFill>
        </w:rPr>
      </w:pPr>
      <w:r>
        <w:rPr>
          <w:rFonts w:hint="eastAsia" w:ascii="黑体" w:hAnsi="黑体" w:eastAsia="黑体"/>
          <w:b/>
          <w:color w:val="000000" w:themeColor="text1"/>
          <w:sz w:val="32"/>
          <w:szCs w:val="32"/>
          <w:highlight w:val="none"/>
          <w:u w:val="none"/>
          <w14:textFill>
            <w14:solidFill>
              <w14:schemeClr w14:val="tx1"/>
            </w14:solidFill>
          </w14:textFill>
        </w:rPr>
        <w:t>第四部分  名词解释</w:t>
      </w:r>
    </w:p>
    <w:p>
      <w:pPr>
        <w:ind w:firstLine="640" w:firstLineChars="200"/>
        <w:jc w:val="left"/>
        <w:rPr>
          <w:rFonts w:ascii="仿宋_GB2312" w:eastAsia="仿宋_GB2312" w:cs="宋体"/>
          <w:bCs/>
          <w:color w:val="000000" w:themeColor="text1"/>
          <w:kern w:val="0"/>
          <w:sz w:val="32"/>
          <w:szCs w:val="32"/>
          <w:highlight w:val="none"/>
          <w:u w:val="none"/>
          <w:lang w:val="zh-CN"/>
          <w14:textFill>
            <w14:solidFill>
              <w14:schemeClr w14:val="tx1"/>
            </w14:solidFill>
          </w14:textFill>
        </w:rPr>
      </w:pP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一、财政拨款收入：指本级财政当年拨付的资金。</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六、其他收入：指除上述“财政拨款收入”“事业收入”“经营收入”等以外的收入。</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color w:val="000000" w:themeColor="text1"/>
          <w:sz w:val="32"/>
          <w:szCs w:val="32"/>
          <w:highlight w:val="none"/>
          <w:u w:val="none"/>
          <w14:textFill>
            <w14:solidFill>
              <w14:schemeClr w14:val="tx1"/>
            </w14:solidFill>
          </w14:textFill>
        </w:rPr>
      </w:pPr>
    </w:p>
    <w:p>
      <w:pPr>
        <w:ind w:firstLine="640" w:firstLineChars="200"/>
        <w:jc w:val="left"/>
        <w:rPr>
          <w:rFonts w:ascii="仿宋_GB2312" w:hAnsi="黑体" w:eastAsia="仿宋_GB2312" w:cs="仿宋_GB2312"/>
          <w:color w:val="000000" w:themeColor="text1"/>
          <w:sz w:val="32"/>
          <w:szCs w:val="32"/>
          <w:highlight w:val="none"/>
          <w:u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ED6A1"/>
    <w:rsid w:val="2CFFD3C3"/>
    <w:rsid w:val="2F939C96"/>
    <w:rsid w:val="2FBF19B9"/>
    <w:rsid w:val="30F76199"/>
    <w:rsid w:val="37DF1B78"/>
    <w:rsid w:val="3FBDD00A"/>
    <w:rsid w:val="3FC7D1B6"/>
    <w:rsid w:val="3FDF8A54"/>
    <w:rsid w:val="3FEFC629"/>
    <w:rsid w:val="3FFFB713"/>
    <w:rsid w:val="4D594388"/>
    <w:rsid w:val="54BFA022"/>
    <w:rsid w:val="57ADE97B"/>
    <w:rsid w:val="5DF7BBF7"/>
    <w:rsid w:val="5F9F6540"/>
    <w:rsid w:val="652AA486"/>
    <w:rsid w:val="69FF08FE"/>
    <w:rsid w:val="6B7E0CBD"/>
    <w:rsid w:val="6BFADE34"/>
    <w:rsid w:val="6E53C6B3"/>
    <w:rsid w:val="6FDB1131"/>
    <w:rsid w:val="6FFF3FB6"/>
    <w:rsid w:val="73CF45A9"/>
    <w:rsid w:val="746D64FC"/>
    <w:rsid w:val="75BDFF03"/>
    <w:rsid w:val="777F1045"/>
    <w:rsid w:val="786B2FB7"/>
    <w:rsid w:val="79BF1E60"/>
    <w:rsid w:val="7BE1D160"/>
    <w:rsid w:val="7BF736D2"/>
    <w:rsid w:val="7DB65557"/>
    <w:rsid w:val="7DCFDB3B"/>
    <w:rsid w:val="7EF9D645"/>
    <w:rsid w:val="7EFDD520"/>
    <w:rsid w:val="7FAAE0CC"/>
    <w:rsid w:val="7FDFCC29"/>
    <w:rsid w:val="7FF97A0B"/>
    <w:rsid w:val="7FFD12AE"/>
    <w:rsid w:val="7FFFDC33"/>
    <w:rsid w:val="93B7B913"/>
    <w:rsid w:val="95FFEE3A"/>
    <w:rsid w:val="9F3DD3F7"/>
    <w:rsid w:val="9F77DB6D"/>
    <w:rsid w:val="ABBF3834"/>
    <w:rsid w:val="AFFF7822"/>
    <w:rsid w:val="BD9FBEA1"/>
    <w:rsid w:val="BF6E4301"/>
    <w:rsid w:val="BFFB40A8"/>
    <w:rsid w:val="CEFE956B"/>
    <w:rsid w:val="D3DA912A"/>
    <w:rsid w:val="D7EC63B0"/>
    <w:rsid w:val="D97F626E"/>
    <w:rsid w:val="DDF08E06"/>
    <w:rsid w:val="DEFBB842"/>
    <w:rsid w:val="E7DFE9FC"/>
    <w:rsid w:val="E7F7DA0A"/>
    <w:rsid w:val="EBFFD463"/>
    <w:rsid w:val="EEBFBD90"/>
    <w:rsid w:val="EF4F270F"/>
    <w:rsid w:val="EFBE4258"/>
    <w:rsid w:val="F0FEA067"/>
    <w:rsid w:val="F57FC74A"/>
    <w:rsid w:val="F6B72C25"/>
    <w:rsid w:val="F7CEF563"/>
    <w:rsid w:val="F7F71EB2"/>
    <w:rsid w:val="F9FB251A"/>
    <w:rsid w:val="FAFF8EB7"/>
    <w:rsid w:val="FC6FBB23"/>
    <w:rsid w:val="FD2ED5F2"/>
    <w:rsid w:val="FD9C8255"/>
    <w:rsid w:val="FF1E9798"/>
    <w:rsid w:val="FF5F5C3D"/>
    <w:rsid w:val="FF684584"/>
    <w:rsid w:val="FF7B2359"/>
    <w:rsid w:val="FF7C1A10"/>
    <w:rsid w:val="FF959BAC"/>
    <w:rsid w:val="FFB50C72"/>
    <w:rsid w:val="FFB75C09"/>
    <w:rsid w:val="FFFF15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2017-02-09T07:31:00Z</dcterms:created>
  <dc:creator>null,null,总收发</dc:creator>
  <cp:lastModifiedBy>kylin</cp:lastModifiedBy>
  <cp:lastPrinted>2024-01-25T06:59:00Z</cp:lastPrinted>
  <dcterms:modified xsi:type="dcterms:W3CDTF">2024-02-05T15:48:06Z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